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s="Arial" w:eastAsia="Arial"/>
          <w:b/>
          <w:i w:val="0"/>
          <w:color w:val="15573D"/>
          <w:sz w:val="44"/>
        </w:rPr>
        <w:t>Charte d'utilisation de l'intelligence artificielle</w:t>
      </w:r>
    </w:p>
    <w:p>
      <w:pPr>
        <w:pStyle w:val="Subtitle"/>
      </w:pPr>
      <w:r>
        <w:rPr>
          <w:rFonts w:ascii="Arial" w:hAnsi="Arial" w:cs="Arial" w:eastAsia="Arial"/>
          <w:b w:val="0"/>
          <w:i w:val="0"/>
          <w:color w:val="5A5751"/>
          <w:sz w:val="28"/>
          <w:highlight w:val="yellow"/>
        </w:rPr>
        <w:t>[Nom de l'entreprise]</w:t>
      </w:r>
    </w:p>
    <w:tbl>
      <w:tblPr>
        <w:tblW w:type="auto" w:w="0"/>
        <w:jc w:val="left"/>
        <w:tblBorders>
          <w:top w:val="single" w:sz="4" w:space="0" w:color="B8C7BF"/>
          <w:left w:val="single" w:sz="4" w:space="0" w:color="B8C7BF"/>
          <w:bottom w:val="single" w:sz="4" w:space="0" w:color="B8C7BF"/>
          <w:right w:val="single" w:sz="4" w:space="0" w:color="B8C7BF"/>
          <w:insideH w:val="single" w:sz="4" w:space="0" w:color="B8C7BF"/>
          <w:insideV w:val="single" w:sz="4" w:space="0" w:color="B8C7BF"/>
        </w:tblBorders>
        <w:tblLayout w:type="fixed"/>
        <w:tblLook w:firstColumn="1" w:firstRow="1" w:lastColumn="0" w:lastRow="0" w:noHBand="0" w:noVBand="1" w:val="04A0"/>
      </w:tblPr>
      <w:tblGrid>
        <w:gridCol w:w="2835"/>
        <w:gridCol w:w="6803"/>
      </w:tblGrid>
      <w:tr>
        <w:tc>
          <w:tcPr>
            <w:tcW w:type="dxa" w:w="2835"/>
            <w:shd w:val="clear" w:color="auto" w:fill="EAF1ED"/>
            <w:tcMar>
              <w:top w:w="40" w:type="dxa"/>
              <w:left w:w="100" w:type="dxa"/>
              <w:bottom w:w="40" w:type="dxa"/>
              <w:right w:w="100" w:type="dxa"/>
            </w:tcMar>
          </w:tcPr>
          <w:p>
            <w:pPr>
              <w:spacing w:after="0"/>
            </w:pPr>
            <w:r>
              <w:rPr>
                <w:rFonts w:ascii="Arial" w:hAnsi="Arial" w:cs="Arial" w:eastAsia="Arial"/>
                <w:b/>
                <w:i w:val="0"/>
                <w:sz w:val="19"/>
              </w:rPr>
              <w:t>Version</w:t>
            </w:r>
          </w:p>
        </w:tc>
        <w:tc>
          <w:tcPr>
            <w:tcW w:type="dxa" w:w="6803"/>
            <w:tcMar>
              <w:top w:w="40" w:type="dxa"/>
              <w:left w:w="100" w:type="dxa"/>
              <w:bottom w:w="40" w:type="dxa"/>
              <w:right w:w="100" w:type="dxa"/>
            </w:tcMar>
          </w:tcPr>
          <w:p>
            <w:pPr>
              <w:spacing w:after="0"/>
            </w:pPr>
            <w:r>
              <w:rPr>
                <w:rFonts w:ascii="Arial" w:hAnsi="Arial" w:cs="Arial" w:eastAsia="Arial"/>
                <w:b w:val="0"/>
                <w:i w:val="0"/>
                <w:sz w:val="19"/>
                <w:highlight w:val="yellow"/>
              </w:rPr>
              <w:t>[1.0]</w:t>
            </w:r>
          </w:p>
        </w:tc>
      </w:tr>
      <w:tr>
        <w:tc>
          <w:tcPr>
            <w:tcW w:type="dxa" w:w="2835"/>
            <w:shd w:val="clear" w:color="auto" w:fill="EAF1ED"/>
            <w:tcMar>
              <w:top w:w="40" w:type="dxa"/>
              <w:left w:w="100" w:type="dxa"/>
              <w:bottom w:w="40" w:type="dxa"/>
              <w:right w:w="100" w:type="dxa"/>
            </w:tcMar>
          </w:tcPr>
          <w:p>
            <w:pPr>
              <w:spacing w:after="0"/>
            </w:pPr>
            <w:r>
              <w:rPr>
                <w:rFonts w:ascii="Arial" w:hAnsi="Arial" w:cs="Arial" w:eastAsia="Arial"/>
                <w:b/>
                <w:i w:val="0"/>
                <w:sz w:val="19"/>
              </w:rPr>
              <w:t>Date d'entrée en vigueur</w:t>
            </w:r>
          </w:p>
        </w:tc>
        <w:tc>
          <w:tcPr>
            <w:tcW w:type="dxa" w:w="6803"/>
            <w:tcMar>
              <w:top w:w="40" w:type="dxa"/>
              <w:left w:w="100" w:type="dxa"/>
              <w:bottom w:w="40" w:type="dxa"/>
              <w:right w:w="100" w:type="dxa"/>
            </w:tcMar>
          </w:tcPr>
          <w:p>
            <w:pPr>
              <w:spacing w:after="0"/>
            </w:pPr>
            <w:r>
              <w:rPr>
                <w:rFonts w:ascii="Arial" w:hAnsi="Arial" w:cs="Arial" w:eastAsia="Arial"/>
                <w:b w:val="0"/>
                <w:i w:val="0"/>
                <w:sz w:val="19"/>
                <w:highlight w:val="yellow"/>
              </w:rPr>
              <w:t>[JJ/MM/AAAA]</w:t>
            </w:r>
          </w:p>
        </w:tc>
      </w:tr>
      <w:tr>
        <w:tc>
          <w:tcPr>
            <w:tcW w:type="dxa" w:w="2835"/>
            <w:shd w:val="clear" w:color="auto" w:fill="EAF1ED"/>
            <w:tcMar>
              <w:top w:w="40" w:type="dxa"/>
              <w:left w:w="100" w:type="dxa"/>
              <w:bottom w:w="40" w:type="dxa"/>
              <w:right w:w="100" w:type="dxa"/>
            </w:tcMar>
          </w:tcPr>
          <w:p>
            <w:pPr>
              <w:spacing w:after="0"/>
            </w:pPr>
            <w:r>
              <w:rPr>
                <w:rFonts w:ascii="Arial" w:hAnsi="Arial" w:cs="Arial" w:eastAsia="Arial"/>
                <w:b/>
                <w:i w:val="0"/>
                <w:sz w:val="19"/>
              </w:rPr>
              <w:t>Validée par</w:t>
            </w:r>
          </w:p>
        </w:tc>
        <w:tc>
          <w:tcPr>
            <w:tcW w:type="dxa" w:w="6803"/>
            <w:tcMar>
              <w:top w:w="40" w:type="dxa"/>
              <w:left w:w="100" w:type="dxa"/>
              <w:bottom w:w="40" w:type="dxa"/>
              <w:right w:w="100" w:type="dxa"/>
            </w:tcMar>
          </w:tcPr>
          <w:p>
            <w:pPr>
              <w:spacing w:after="0"/>
            </w:pPr>
            <w:r>
              <w:rPr>
                <w:rFonts w:ascii="Arial" w:hAnsi="Arial" w:cs="Arial" w:eastAsia="Arial"/>
                <w:b w:val="0"/>
                <w:i w:val="0"/>
                <w:sz w:val="19"/>
                <w:highlight w:val="yellow"/>
              </w:rPr>
              <w:t>[Nom, fonction]</w:t>
            </w:r>
          </w:p>
        </w:tc>
      </w:tr>
      <w:tr>
        <w:tc>
          <w:tcPr>
            <w:tcW w:type="dxa" w:w="2835"/>
            <w:shd w:val="clear" w:color="auto" w:fill="EAF1ED"/>
            <w:tcMar>
              <w:top w:w="40" w:type="dxa"/>
              <w:left w:w="100" w:type="dxa"/>
              <w:bottom w:w="40" w:type="dxa"/>
              <w:right w:w="100" w:type="dxa"/>
            </w:tcMar>
          </w:tcPr>
          <w:p>
            <w:pPr>
              <w:spacing w:after="0"/>
            </w:pPr>
            <w:r>
              <w:rPr>
                <w:rFonts w:ascii="Arial" w:hAnsi="Arial" w:cs="Arial" w:eastAsia="Arial"/>
                <w:b/>
                <w:i w:val="0"/>
                <w:sz w:val="19"/>
              </w:rPr>
              <w:t>Référent IA</w:t>
            </w:r>
          </w:p>
        </w:tc>
        <w:tc>
          <w:tcPr>
            <w:tcW w:type="dxa" w:w="6803"/>
            <w:tcMar>
              <w:top w:w="40" w:type="dxa"/>
              <w:left w:w="100" w:type="dxa"/>
              <w:bottom w:w="40" w:type="dxa"/>
              <w:right w:w="100" w:type="dxa"/>
            </w:tcMar>
          </w:tcPr>
          <w:p>
            <w:pPr>
              <w:spacing w:after="0"/>
            </w:pPr>
            <w:r>
              <w:rPr>
                <w:rFonts w:ascii="Arial" w:hAnsi="Arial" w:cs="Arial" w:eastAsia="Arial"/>
                <w:b w:val="0"/>
                <w:i w:val="0"/>
                <w:sz w:val="19"/>
                <w:highlight w:val="yellow"/>
              </w:rPr>
              <w:t>[Nom, fonction]</w:t>
            </w:r>
            <w:r>
              <w:rPr>
                <w:rFonts w:ascii="Arial" w:hAnsi="Arial" w:cs="Arial" w:eastAsia="Arial"/>
                <w:b w:val="0"/>
                <w:i w:val="0"/>
                <w:sz w:val="19"/>
              </w:rPr>
              <w:t xml:space="preserve"> · </w:t>
            </w:r>
            <w:r>
              <w:rPr>
                <w:rFonts w:ascii="Arial" w:hAnsi="Arial" w:cs="Arial" w:eastAsia="Arial"/>
                <w:b w:val="0"/>
                <w:i w:val="0"/>
                <w:sz w:val="19"/>
                <w:highlight w:val="yellow"/>
              </w:rPr>
              <w:t>[adresse e-mail]</w:t>
            </w:r>
          </w:p>
        </w:tc>
      </w:tr>
      <w:tr>
        <w:tc>
          <w:tcPr>
            <w:tcW w:type="dxa" w:w="2835"/>
            <w:shd w:val="clear" w:color="auto" w:fill="EAF1ED"/>
            <w:tcMar>
              <w:top w:w="40" w:type="dxa"/>
              <w:left w:w="100" w:type="dxa"/>
              <w:bottom w:w="40" w:type="dxa"/>
              <w:right w:w="100" w:type="dxa"/>
            </w:tcMar>
          </w:tcPr>
          <w:p>
            <w:pPr>
              <w:spacing w:after="0"/>
            </w:pPr>
            <w:r>
              <w:rPr>
                <w:rFonts w:ascii="Arial" w:hAnsi="Arial" w:cs="Arial" w:eastAsia="Arial"/>
                <w:b/>
                <w:i w:val="0"/>
                <w:sz w:val="19"/>
              </w:rPr>
              <w:t>Prochaine revue</w:t>
            </w:r>
          </w:p>
        </w:tc>
        <w:tc>
          <w:tcPr>
            <w:tcW w:type="dxa" w:w="6803"/>
            <w:tcMar>
              <w:top w:w="40" w:type="dxa"/>
              <w:left w:w="100" w:type="dxa"/>
              <w:bottom w:w="40" w:type="dxa"/>
              <w:right w:w="100" w:type="dxa"/>
            </w:tcMar>
          </w:tcPr>
          <w:p>
            <w:pPr>
              <w:spacing w:after="0"/>
            </w:pPr>
            <w:r>
              <w:rPr>
                <w:rFonts w:ascii="Arial" w:hAnsi="Arial" w:cs="Arial" w:eastAsia="Arial"/>
                <w:b w:val="0"/>
                <w:i w:val="0"/>
                <w:sz w:val="19"/>
                <w:highlight w:val="yellow"/>
              </w:rPr>
              <w:t>[JJ/MM/AAAA]</w:t>
            </w:r>
          </w:p>
        </w:tc>
      </w:tr>
    </w:tbl>
    <w:p>
      <w:pPr>
        <w:spacing w:after="40"/>
      </w:pPr>
    </w:p>
    <w:tbl>
      <w:tblPr>
        <w:tblW w:type="auto" w:w="0"/>
        <w:jc w:val="left"/>
        <w:tblBorders>
          <w:top w:val="single" w:sz="6" w:space="0" w:color="B8731F"/>
          <w:left w:val="single" w:sz="6" w:space="0" w:color="B8731F"/>
          <w:bottom w:val="single" w:sz="6" w:space="0" w:color="B8731F"/>
          <w:right w:val="single" w:sz="6" w:space="0" w:color="B8731F"/>
          <w:insideH w:val="single" w:sz="6" w:space="0" w:color="B8731F"/>
          <w:insideV w:val="single" w:sz="6" w:space="0" w:color="B8731F"/>
        </w:tblBorders>
        <w:tblLayout w:type="fixed"/>
        <w:tblLook w:firstColumn="1" w:firstRow="1" w:lastColumn="0" w:lastRow="0" w:noHBand="0" w:noVBand="1" w:val="04A0"/>
      </w:tblPr>
      <w:tblGrid>
        <w:gridCol w:w="9638"/>
      </w:tblGrid>
      <w:tr>
        <w:tc>
          <w:tcPr>
            <w:tcW w:type="dxa" w:w="9638"/>
            <w:shd w:val="clear" w:color="auto" w:fill="FBF1E5"/>
            <w:tcMar>
              <w:top w:w="80" w:type="dxa"/>
              <w:left w:w="140" w:type="dxa"/>
              <w:bottom w:w="80" w:type="dxa"/>
              <w:right w:w="140" w:type="dxa"/>
            </w:tcMar>
          </w:tcPr>
          <w:p>
            <w:pPr>
              <w:spacing w:after="60"/>
            </w:pPr>
            <w:r>
              <w:rPr>
                <w:rFonts w:ascii="Arial" w:hAnsi="Arial" w:cs="Arial" w:eastAsia="Arial"/>
                <w:b/>
                <w:i w:val="0"/>
                <w:color w:val="8A5512"/>
                <w:sz w:val="19"/>
              </w:rPr>
              <w:t>Mode d'emploi (à supprimer avant diffusion)</w:t>
            </w:r>
          </w:p>
          <w:p>
            <w:pPr>
              <w:spacing w:after="40"/>
              <w:ind w:left="255" w:hanging="255"/>
            </w:pPr>
            <w:r>
              <w:rPr>
                <w:rFonts w:ascii="Arial" w:hAnsi="Arial" w:cs="Arial" w:eastAsia="Arial"/>
                <w:b w:val="0"/>
                <w:i w:val="0"/>
                <w:sz w:val="18"/>
              </w:rPr>
              <w:t>•  Remplacez chaque texte surligné entre crochets par les informations de votre entreprise, puis retirez le surlignage.</w:t>
            </w:r>
          </w:p>
          <w:p>
            <w:pPr>
              <w:spacing w:after="40"/>
              <w:ind w:left="255" w:hanging="255"/>
            </w:pPr>
            <w:r>
              <w:rPr>
                <w:rFonts w:ascii="Arial" w:hAnsi="Arial" w:cs="Arial" w:eastAsia="Arial"/>
                <w:b w:val="0"/>
                <w:i w:val="0"/>
                <w:sz w:val="18"/>
              </w:rPr>
              <w:t>•  Supprimez les clauses qui ne vous concernent pas et remplissez le tableau des outils autorisés (annexe 1) avec les outils réellement validés.</w:t>
            </w:r>
          </w:p>
          <w:p>
            <w:pPr>
              <w:spacing w:after="40"/>
              <w:ind w:left="255" w:hanging="255"/>
            </w:pPr>
            <w:r>
              <w:rPr>
                <w:rFonts w:ascii="Arial" w:hAnsi="Arial" w:cs="Arial" w:eastAsia="Arial"/>
                <w:b w:val="0"/>
                <w:i w:val="0"/>
                <w:sz w:val="18"/>
              </w:rPr>
              <w:t>•  Faites relire le texte par la direction, par votre DPO s'il y en a un, et par votre conseil.</w:t>
            </w:r>
          </w:p>
          <w:p>
            <w:pPr>
              <w:spacing w:after="40"/>
              <w:ind w:left="255" w:hanging="255"/>
            </w:pPr>
            <w:r>
              <w:rPr>
                <w:rFonts w:ascii="Arial" w:hAnsi="Arial" w:cs="Arial" w:eastAsia="Arial"/>
                <w:b w:val="0"/>
                <w:i w:val="0"/>
                <w:sz w:val="18"/>
              </w:rPr>
              <w:t>•  Pour que la charte puisse fonder des sanctions, elle suit en pratique la procédure du règlement intérieur : voir l'article 9.</w:t>
            </w:r>
          </w:p>
          <w:p>
            <w:pPr>
              <w:spacing w:after="40"/>
              <w:ind w:left="255" w:hanging="255"/>
            </w:pPr>
            <w:r>
              <w:rPr>
                <w:rFonts w:ascii="Arial" w:hAnsi="Arial" w:cs="Arial" w:eastAsia="Arial"/>
                <w:b w:val="0"/>
                <w:i w:val="0"/>
                <w:sz w:val="18"/>
              </w:rPr>
              <w:t>•  Si vous prévoyez de tracer l'usage des outils, informez les salariés au préalable et consultez le CSE : voir l'option de l'article 6.</w:t>
            </w:r>
          </w:p>
          <w:p>
            <w:pPr>
              <w:spacing w:after="0"/>
              <w:ind w:left="255" w:hanging="255"/>
            </w:pPr>
            <w:r>
              <w:rPr>
                <w:rFonts w:ascii="Arial" w:hAnsi="Arial" w:cs="Arial" w:eastAsia="Arial"/>
                <w:b w:val="0"/>
                <w:i w:val="0"/>
                <w:sz w:val="18"/>
              </w:rPr>
              <w:t xml:space="preserve">•  Explications rubrique par rubrique : </w:t>
            </w:r>
            <w:hyperlink r:id="rId11">
              <w:r>
                <w:rPr>
                  <w:rFonts w:ascii="Arial" w:hAnsi="Arial" w:cs="Arial" w:eastAsia="Arial"/>
                  <w:color w:val="15573D"/>
                  <w:sz w:val="18"/>
                  <w:u w:val="single"/>
                </w:rPr>
                <w:t>regulia.fr/modele-charte-ia-entreprise/</w:t>
              </w:r>
            </w:hyperlink>
          </w:p>
        </w:tc>
      </w:tr>
    </w:tbl>
    <w:p>
      <w:pPr>
        <w:pStyle w:val="Heading1"/>
        <w:pBdr>
          <w:bottom w:val="single" w:sz="6" w:space="2" w:color="C9D6CE"/>
        </w:pBdr>
      </w:pPr>
      <w:r>
        <w:rPr>
          <w:rFonts w:ascii="Arial" w:hAnsi="Arial" w:cs="Arial" w:eastAsia="Arial"/>
          <w:b/>
          <w:i w:val="0"/>
          <w:color w:val="15573D"/>
          <w:sz w:val="23"/>
        </w:rPr>
        <w:t>Préambule</w:t>
      </w:r>
    </w:p>
    <w:p>
      <w:pPr>
        <w:spacing w:after="80"/>
      </w:pPr>
      <w:r>
        <w:rPr>
          <w:rFonts w:ascii="Arial" w:hAnsi="Arial" w:cs="Arial" w:eastAsia="Arial"/>
          <w:b w:val="0"/>
          <w:i w:val="0"/>
          <w:sz w:val="20"/>
          <w:highlight w:val="yellow"/>
        </w:rPr>
        <w:t>[Nom de l'entreprise]</w:t>
      </w:r>
      <w:r>
        <w:rPr>
          <w:rFonts w:ascii="Arial" w:hAnsi="Arial" w:cs="Arial" w:eastAsia="Arial"/>
          <w:b w:val="0"/>
          <w:i w:val="0"/>
          <w:sz w:val="20"/>
        </w:rPr>
        <w:t xml:space="preserve"> (« l'Entreprise ») encourage l'usage raisonné des outils d'intelligence artificielle (« IA ») pour gagner du temps et améliorer la qualité du travail. Cet usage comporte des risques : divulgation d'informations confidentielles, atteinte à la vie privée, erreurs, contenus trompeurs, atteinte aux droits de tiers.</w:t>
      </w:r>
    </w:p>
    <w:p>
      <w:pPr>
        <w:spacing w:after="80"/>
      </w:pPr>
      <w:r>
        <w:rPr>
          <w:rFonts w:ascii="Arial" w:hAnsi="Arial" w:cs="Arial" w:eastAsia="Arial"/>
          <w:b w:val="0"/>
          <w:i w:val="0"/>
          <w:sz w:val="20"/>
        </w:rPr>
        <w:t xml:space="preserve">La présente charte fixe les règles communes d'utilisation de l'IA. Elle fait partie des mesures prises par l'Entreprise pour favoriser la maîtrise de l'IA des personnes qui l'utilisent (article 4 du règlement (UE) 2024/1689), protéger les données personnelles (RGPD) et respecter les obligations de transparence (article 50 du même règlement). Elle complète </w:t>
      </w:r>
      <w:r>
        <w:rPr>
          <w:rFonts w:ascii="Arial" w:hAnsi="Arial" w:cs="Arial" w:eastAsia="Arial"/>
          <w:b w:val="0"/>
          <w:i w:val="0"/>
          <w:sz w:val="20"/>
          <w:highlight w:val="yellow"/>
        </w:rPr>
        <w:t>[la charte informatique / le règlement intérieur]</w:t>
      </w:r>
      <w:r>
        <w:rPr>
          <w:rFonts w:ascii="Arial" w:hAnsi="Arial" w:cs="Arial" w:eastAsia="Arial"/>
          <w:b w:val="0"/>
          <w:i w:val="0"/>
          <w:sz w:val="20"/>
        </w:rPr>
        <w:t xml:space="preserve"> de l'Entreprise.</w:t>
      </w:r>
    </w:p>
    <w:p>
      <w:pPr>
        <w:spacing w:after="80"/>
      </w:pPr>
      <w:r>
        <w:rPr>
          <w:rFonts w:ascii="Arial" w:hAnsi="Arial" w:cs="Arial" w:eastAsia="Arial"/>
          <w:b w:val="0"/>
          <w:i w:val="0"/>
          <w:sz w:val="20"/>
        </w:rPr>
        <w:t>Elle s'applique à toute personne qui utilise un outil d'IA pour le compte de l'Entreprise (« l'Utilisateur ») : salariés, stagiaires, apprentis, intérimaires, prestataires et collaborateurs extérieurs, sur tout matériel et avec tout compte, y compris personnel, dès lors que l'usage est professionnel. Un « outil d'IA » désigne tout service ou logiciel qui génère ou transforme du texte, du code, des images, du son ou de la vidéo, ou qui analyse des données au moyen de l'IA, y compris les assistants intégrés aux logiciels, les outils de traduction et de transcription.</w:t>
      </w:r>
    </w:p>
    <w:p>
      <w:pPr>
        <w:pStyle w:val="Heading1"/>
        <w:pBdr>
          <w:bottom w:val="single" w:sz="6" w:space="2" w:color="C9D6CE"/>
        </w:pBdr>
      </w:pPr>
      <w:r>
        <w:rPr>
          <w:rFonts w:ascii="Arial" w:hAnsi="Arial" w:cs="Arial" w:eastAsia="Arial"/>
          <w:b/>
          <w:i w:val="0"/>
          <w:color w:val="15573D"/>
          <w:sz w:val="23"/>
        </w:rPr>
        <w:t>Article 1 — Outils autorisés et interdits</w:t>
      </w:r>
    </w:p>
    <w:p>
      <w:pPr>
        <w:keepLines/>
        <w:tabs>
          <w:tab w:pos="567" w:val="left"/>
        </w:tabs>
        <w:ind w:left="567" w:hanging="567"/>
      </w:pPr>
      <w:r>
        <w:rPr>
          <w:rFonts w:ascii="Arial" w:hAnsi="Arial" w:cs="Arial" w:eastAsia="Arial"/>
          <w:b/>
          <w:i w:val="0"/>
          <w:sz w:val="20"/>
        </w:rPr>
        <w:t>1.1</w:t>
      </w:r>
      <w:r>
        <w:rPr>
          <w:rFonts w:ascii="Arial" w:hAnsi="Arial" w:cs="Arial" w:eastAsia="Arial"/>
          <w:b w:val="0"/>
          <w:i w:val="0"/>
          <w:sz w:val="20"/>
        </w:rPr>
        <w:tab/>
        <w:t>Seuls les outils d'IA listés à l'annexe 1 peuvent être utilisés dans le cadre professionnel, pour les usages et avec les types de données qui y sont indiqués.</w:t>
      </w:r>
    </w:p>
    <w:p>
      <w:pPr>
        <w:keepLines/>
        <w:tabs>
          <w:tab w:pos="567" w:val="left"/>
        </w:tabs>
        <w:ind w:left="567" w:hanging="567"/>
      </w:pPr>
      <w:r>
        <w:rPr>
          <w:rFonts w:ascii="Arial" w:hAnsi="Arial" w:cs="Arial" w:eastAsia="Arial"/>
          <w:b/>
          <w:i w:val="0"/>
          <w:sz w:val="20"/>
        </w:rPr>
        <w:t>1.2</w:t>
      </w:r>
      <w:r>
        <w:rPr>
          <w:rFonts w:ascii="Arial" w:hAnsi="Arial" w:cs="Arial" w:eastAsia="Arial"/>
          <w:b w:val="0"/>
          <w:i w:val="0"/>
          <w:sz w:val="20"/>
        </w:rPr>
        <w:tab/>
        <w:t xml:space="preserve">Tout autre outil est interdit tant que </w:t>
      </w:r>
      <w:r>
        <w:rPr>
          <w:rFonts w:ascii="Arial" w:hAnsi="Arial" w:cs="Arial" w:eastAsia="Arial"/>
          <w:b w:val="0"/>
          <w:i w:val="0"/>
          <w:sz w:val="20"/>
          <w:highlight w:val="yellow"/>
        </w:rPr>
        <w:t>[le référent IA]</w:t>
      </w:r>
      <w:r>
        <w:rPr>
          <w:rFonts w:ascii="Arial" w:hAnsi="Arial" w:cs="Arial" w:eastAsia="Arial"/>
          <w:b w:val="0"/>
          <w:i w:val="0"/>
          <w:sz w:val="20"/>
        </w:rPr>
        <w:t xml:space="preserve"> ne l'a pas validé par écrit. Cela vise aussi les outils gratuits, les applications installées à titre personnel et les fonctions d'IA ajoutées à un logiciel déjà utilisé. Pour demander l'ajout d'un outil, l'Utilisateur écrit à </w:t>
      </w:r>
      <w:r>
        <w:rPr>
          <w:rFonts w:ascii="Arial" w:hAnsi="Arial" w:cs="Arial" w:eastAsia="Arial"/>
          <w:b w:val="0"/>
          <w:i w:val="0"/>
          <w:sz w:val="20"/>
          <w:highlight w:val="yellow"/>
        </w:rPr>
        <w:t>[adresse e-mail]</w:t>
      </w:r>
      <w:r>
        <w:rPr>
          <w:rFonts w:ascii="Arial" w:hAnsi="Arial" w:cs="Arial" w:eastAsia="Arial"/>
          <w:b w:val="0"/>
          <w:i w:val="0"/>
          <w:sz w:val="20"/>
        </w:rPr>
        <w:t xml:space="preserve"> en indiquant l'outil, l'usage prévu et les données concernées.</w:t>
      </w:r>
    </w:p>
    <w:p>
      <w:pPr>
        <w:keepLines/>
        <w:tabs>
          <w:tab w:pos="567" w:val="left"/>
        </w:tabs>
        <w:ind w:left="567" w:hanging="567"/>
      </w:pPr>
      <w:r>
        <w:rPr>
          <w:rFonts w:ascii="Arial" w:hAnsi="Arial" w:cs="Arial" w:eastAsia="Arial"/>
          <w:b/>
          <w:i w:val="0"/>
          <w:sz w:val="20"/>
        </w:rPr>
        <w:t>1.3</w:t>
      </w:r>
      <w:r>
        <w:rPr>
          <w:rFonts w:ascii="Arial" w:hAnsi="Arial" w:cs="Arial" w:eastAsia="Arial"/>
          <w:b w:val="0"/>
          <w:i w:val="0"/>
          <w:sz w:val="20"/>
        </w:rPr>
        <w:tab/>
        <w:t>L'Entreprise tient l'annexe 1 à jour et informe les Utilisateurs de chaque modification.</w:t>
      </w:r>
    </w:p>
    <w:p>
      <w:pPr>
        <w:keepLines/>
        <w:tabs>
          <w:tab w:pos="567" w:val="left"/>
        </w:tabs>
        <w:ind w:left="567" w:hanging="567"/>
      </w:pPr>
      <w:r>
        <w:rPr>
          <w:rFonts w:ascii="Arial" w:hAnsi="Arial" w:cs="Arial" w:eastAsia="Arial"/>
          <w:b/>
          <w:i w:val="0"/>
          <w:sz w:val="20"/>
        </w:rPr>
        <w:t>1.4</w:t>
      </w:r>
      <w:r>
        <w:rPr>
          <w:rFonts w:ascii="Arial" w:hAnsi="Arial" w:cs="Arial" w:eastAsia="Arial"/>
          <w:b w:val="0"/>
          <w:i w:val="0"/>
          <w:sz w:val="20"/>
        </w:rPr>
        <w:tab/>
        <w:t>Sont interdits, quel que soit l'outil, les usages prohibés par l'article 5 du règlement (UE) 2024/1689, notamment l'analyse des émotions des salariés (sauf raison médicale ou de sécurité), la notation sociale de personnes et toute technique visant à manipuler une personne ou à exploiter sa vulnérabilité.</w:t>
      </w:r>
    </w:p>
    <w:p>
      <w:pPr>
        <w:keepLines/>
        <w:tabs>
          <w:tab w:pos="567" w:val="left"/>
        </w:tabs>
        <w:ind w:left="567" w:hanging="567"/>
      </w:pPr>
      <w:r>
        <w:rPr>
          <w:rFonts w:ascii="Arial" w:hAnsi="Arial" w:cs="Arial" w:eastAsia="Arial"/>
          <w:b/>
          <w:i w:val="0"/>
          <w:sz w:val="20"/>
        </w:rPr>
        <w:t>1.5</w:t>
      </w:r>
      <w:r>
        <w:rPr>
          <w:rFonts w:ascii="Arial" w:hAnsi="Arial" w:cs="Arial" w:eastAsia="Arial"/>
          <w:b w:val="0"/>
          <w:i w:val="0"/>
          <w:sz w:val="20"/>
        </w:rPr>
        <w:tab/>
        <w:t xml:space="preserve">Tout usage de l'IA pour recruter, évaluer, surveiller ou sanctionner des personnes exige l'accord préalable écrit de </w:t>
      </w:r>
      <w:r>
        <w:rPr>
          <w:rFonts w:ascii="Arial" w:hAnsi="Arial" w:cs="Arial" w:eastAsia="Arial"/>
          <w:b w:val="0"/>
          <w:i w:val="0"/>
          <w:sz w:val="20"/>
          <w:highlight w:val="yellow"/>
        </w:rPr>
        <w:t>[la direction / la direction des ressources humaines]</w:t>
      </w:r>
      <w:r>
        <w:rPr>
          <w:rFonts w:ascii="Arial" w:hAnsi="Arial" w:cs="Arial" w:eastAsia="Arial"/>
          <w:b w:val="0"/>
          <w:i w:val="0"/>
          <w:sz w:val="20"/>
        </w:rPr>
        <w:t>.</w:t>
      </w:r>
    </w:p>
    <w:p>
      <w:pPr>
        <w:pStyle w:val="Heading1"/>
        <w:pBdr>
          <w:bottom w:val="single" w:sz="6" w:space="2" w:color="C9D6CE"/>
        </w:pBdr>
      </w:pPr>
      <w:r>
        <w:rPr>
          <w:rFonts w:ascii="Arial" w:hAnsi="Arial" w:cs="Arial" w:eastAsia="Arial"/>
          <w:b/>
          <w:i w:val="0"/>
          <w:color w:val="15573D"/>
          <w:sz w:val="23"/>
        </w:rPr>
        <w:t>Article 2 — Données interdites</w:t>
      </w:r>
    </w:p>
    <w:p>
      <w:pPr>
        <w:keepLines/>
        <w:tabs>
          <w:tab w:pos="567" w:val="left"/>
        </w:tabs>
        <w:ind w:left="567" w:hanging="567"/>
      </w:pPr>
      <w:r>
        <w:rPr>
          <w:rFonts w:ascii="Arial" w:hAnsi="Arial" w:cs="Arial" w:eastAsia="Arial"/>
          <w:b/>
          <w:i w:val="0"/>
          <w:sz w:val="20"/>
        </w:rPr>
        <w:t>2.1</w:t>
      </w:r>
      <w:r>
        <w:rPr>
          <w:rFonts w:ascii="Arial" w:hAnsi="Arial" w:cs="Arial" w:eastAsia="Arial"/>
          <w:b w:val="0"/>
          <w:i w:val="0"/>
          <w:sz w:val="20"/>
        </w:rPr>
        <w:tab/>
        <w:t>Sauf autorisation expresse de l'annexe 1 pour l'outil concerné, il est interdit de saisir, de déposer ou de transmettre à un outil d'IA :</w:t>
      </w:r>
    </w:p>
    <w:p>
      <w:pPr>
        <w:pStyle w:val="ListBullet"/>
        <w:keepLines/>
        <w:ind w:left="907" w:hanging="283"/>
      </w:pPr>
      <w:r>
        <w:rPr>
          <w:rFonts w:ascii="Arial" w:hAnsi="Arial" w:cs="Arial" w:eastAsia="Arial"/>
          <w:b w:val="0"/>
          <w:i w:val="0"/>
          <w:sz w:val="20"/>
        </w:rPr>
        <w:t>des données personnelles de clients, de salariés, de candidats ou de partenaires (identité, coordonnées, identifiants, paie, évaluations) ;</w:t>
      </w:r>
    </w:p>
    <w:p>
      <w:pPr>
        <w:pStyle w:val="ListBullet"/>
        <w:keepLines/>
        <w:ind w:left="907" w:hanging="283"/>
      </w:pPr>
      <w:r>
        <w:rPr>
          <w:rFonts w:ascii="Arial" w:hAnsi="Arial" w:cs="Arial" w:eastAsia="Arial"/>
          <w:b w:val="0"/>
          <w:i w:val="0"/>
          <w:sz w:val="20"/>
        </w:rPr>
        <w:t>des données sensibles (santé, origine, opinions politiques ou religieuses, appartenance syndicale, orientation sexuelle, données biométriques ou génétiques) ou relatives à des condamnations pénales ;</w:t>
      </w:r>
    </w:p>
    <w:p>
      <w:pPr>
        <w:pStyle w:val="ListBullet"/>
        <w:keepLines/>
        <w:ind w:left="907" w:hanging="283"/>
      </w:pPr>
      <w:r>
        <w:rPr>
          <w:rFonts w:ascii="Arial" w:hAnsi="Arial" w:cs="Arial" w:eastAsia="Arial"/>
          <w:b w:val="0"/>
          <w:i w:val="0"/>
          <w:sz w:val="20"/>
        </w:rPr>
        <w:t>des informations couvertes par le secret des affaires, le secret professionnel ou un accord de confidentialité ;</w:t>
      </w:r>
    </w:p>
    <w:p>
      <w:pPr>
        <w:pStyle w:val="ListBullet"/>
        <w:keepLines/>
        <w:ind w:left="907" w:hanging="283"/>
      </w:pPr>
      <w:r>
        <w:rPr>
          <w:rFonts w:ascii="Arial" w:hAnsi="Arial" w:cs="Arial" w:eastAsia="Arial"/>
          <w:b w:val="0"/>
          <w:i w:val="0"/>
          <w:sz w:val="20"/>
        </w:rPr>
        <w:t>des documents contractuels, financiers ou stratégiques non publics ;</w:t>
      </w:r>
    </w:p>
    <w:p>
      <w:pPr>
        <w:pStyle w:val="ListBullet"/>
        <w:keepLines/>
        <w:ind w:left="907" w:hanging="283"/>
      </w:pPr>
      <w:r>
        <w:rPr>
          <w:rFonts w:ascii="Arial" w:hAnsi="Arial" w:cs="Arial" w:eastAsia="Arial"/>
          <w:b w:val="0"/>
          <w:i w:val="0"/>
          <w:sz w:val="20"/>
        </w:rPr>
        <w:t>des mots de passe, clés d'accès et codes sources non publics.</w:t>
      </w:r>
    </w:p>
    <w:p>
      <w:pPr>
        <w:keepLines/>
        <w:tabs>
          <w:tab w:pos="567" w:val="left"/>
        </w:tabs>
        <w:ind w:left="567" w:hanging="567"/>
      </w:pPr>
      <w:r>
        <w:rPr>
          <w:rFonts w:ascii="Arial" w:hAnsi="Arial" w:cs="Arial" w:eastAsia="Arial"/>
          <w:b/>
          <w:i w:val="0"/>
          <w:sz w:val="20"/>
        </w:rPr>
        <w:t>2.2</w:t>
      </w:r>
      <w:r>
        <w:rPr>
          <w:rFonts w:ascii="Arial" w:hAnsi="Arial" w:cs="Arial" w:eastAsia="Arial"/>
          <w:b w:val="0"/>
          <w:i w:val="0"/>
          <w:sz w:val="20"/>
        </w:rPr>
        <w:tab/>
        <w:t>Lorsqu'un outil est autorisé pour certaines données, l'Utilisateur n'en saisit que le strict nécessaire et retire, autant que possible, les noms et les identifiants.</w:t>
      </w:r>
    </w:p>
    <w:p>
      <w:pPr>
        <w:keepLines/>
        <w:tabs>
          <w:tab w:pos="567" w:val="left"/>
        </w:tabs>
        <w:ind w:left="567" w:hanging="567"/>
      </w:pPr>
      <w:r>
        <w:rPr>
          <w:rFonts w:ascii="Arial" w:hAnsi="Arial" w:cs="Arial" w:eastAsia="Arial"/>
          <w:b/>
          <w:i w:val="0"/>
          <w:sz w:val="20"/>
        </w:rPr>
        <w:t>2.3</w:t>
      </w:r>
      <w:r>
        <w:rPr>
          <w:rFonts w:ascii="Arial" w:hAnsi="Arial" w:cs="Arial" w:eastAsia="Arial"/>
          <w:b w:val="0"/>
          <w:i w:val="0"/>
          <w:sz w:val="20"/>
        </w:rPr>
        <w:tab/>
        <w:t xml:space="preserve">En cas de doute sur la nature d'une donnée, l'Utilisateur ne la saisit pas et interroge </w:t>
      </w:r>
      <w:r>
        <w:rPr>
          <w:rFonts w:ascii="Arial" w:hAnsi="Arial" w:cs="Arial" w:eastAsia="Arial"/>
          <w:b w:val="0"/>
          <w:i w:val="0"/>
          <w:sz w:val="20"/>
          <w:highlight w:val="yellow"/>
        </w:rPr>
        <w:t>[le référent IA / le DPO]</w:t>
      </w:r>
      <w:r>
        <w:rPr>
          <w:rFonts w:ascii="Arial" w:hAnsi="Arial" w:cs="Arial" w:eastAsia="Arial"/>
          <w:b w:val="0"/>
          <w:i w:val="0"/>
          <w:sz w:val="20"/>
        </w:rPr>
        <w:t>.</w:t>
      </w:r>
    </w:p>
    <w:p>
      <w:pPr>
        <w:pStyle w:val="Heading1"/>
        <w:pBdr>
          <w:bottom w:val="single" w:sz="6" w:space="2" w:color="C9D6CE"/>
        </w:pBdr>
      </w:pPr>
      <w:r>
        <w:rPr>
          <w:rFonts w:ascii="Arial" w:hAnsi="Arial" w:cs="Arial" w:eastAsia="Arial"/>
          <w:b/>
          <w:i w:val="0"/>
          <w:color w:val="15573D"/>
          <w:sz w:val="23"/>
        </w:rPr>
        <w:t>Article 3 — Validation humaine des contenus</w:t>
      </w:r>
    </w:p>
    <w:p>
      <w:pPr>
        <w:keepLines/>
        <w:tabs>
          <w:tab w:pos="567" w:val="left"/>
        </w:tabs>
        <w:ind w:left="567" w:hanging="567"/>
      </w:pPr>
      <w:r>
        <w:rPr>
          <w:rFonts w:ascii="Arial" w:hAnsi="Arial" w:cs="Arial" w:eastAsia="Arial"/>
          <w:b/>
          <w:i w:val="0"/>
          <w:sz w:val="20"/>
        </w:rPr>
        <w:t>3.1</w:t>
      </w:r>
      <w:r>
        <w:rPr>
          <w:rFonts w:ascii="Arial" w:hAnsi="Arial" w:cs="Arial" w:eastAsia="Arial"/>
          <w:b w:val="0"/>
          <w:i w:val="0"/>
          <w:sz w:val="20"/>
        </w:rPr>
        <w:tab/>
        <w:t>Un outil d'IA peut produire des informations inexactes, incomplètes, biaisées ou inventées. Tout contenu produit avec l'aide d'un outil d'IA est relu, corrigé et validé par l'Utilisateur avant d'être utilisé, envoyé à un tiers ou publié.</w:t>
      </w:r>
    </w:p>
    <w:p>
      <w:pPr>
        <w:keepLines/>
        <w:tabs>
          <w:tab w:pos="567" w:val="left"/>
        </w:tabs>
        <w:ind w:left="567" w:hanging="567"/>
      </w:pPr>
      <w:r>
        <w:rPr>
          <w:rFonts w:ascii="Arial" w:hAnsi="Arial" w:cs="Arial" w:eastAsia="Arial"/>
          <w:b/>
          <w:i w:val="0"/>
          <w:sz w:val="20"/>
        </w:rPr>
        <w:t>3.2</w:t>
      </w:r>
      <w:r>
        <w:rPr>
          <w:rFonts w:ascii="Arial" w:hAnsi="Arial" w:cs="Arial" w:eastAsia="Arial"/>
          <w:b w:val="0"/>
          <w:i w:val="0"/>
          <w:sz w:val="20"/>
        </w:rPr>
        <w:tab/>
        <w:t>Une réponse d'un outil d'IA n'est pas une source. Les chiffres, citations, références juridiques et noms propres sont vérifiés dans les documents d'origine.</w:t>
      </w:r>
    </w:p>
    <w:p>
      <w:pPr>
        <w:keepLines/>
        <w:tabs>
          <w:tab w:pos="567" w:val="left"/>
        </w:tabs>
        <w:ind w:left="567" w:hanging="567"/>
      </w:pPr>
      <w:r>
        <w:rPr>
          <w:rFonts w:ascii="Arial" w:hAnsi="Arial" w:cs="Arial" w:eastAsia="Arial"/>
          <w:b/>
          <w:i w:val="0"/>
          <w:sz w:val="20"/>
        </w:rPr>
        <w:t>3.3</w:t>
      </w:r>
      <w:r>
        <w:rPr>
          <w:rFonts w:ascii="Arial" w:hAnsi="Arial" w:cs="Arial" w:eastAsia="Arial"/>
          <w:b w:val="0"/>
          <w:i w:val="0"/>
          <w:sz w:val="20"/>
        </w:rPr>
        <w:tab/>
        <w:t>Aucune décision concernant une personne (recrutement, évaluation, rémunération, sanction, refus d'un service ou d'un droit) n'est prise sur la seule base d'un résultat produit par un outil d'IA. Une personne qualifiée examine la situation et assume la décision.</w:t>
      </w:r>
    </w:p>
    <w:p>
      <w:pPr>
        <w:keepLines/>
        <w:tabs>
          <w:tab w:pos="567" w:val="left"/>
        </w:tabs>
        <w:ind w:left="567" w:hanging="567"/>
      </w:pPr>
      <w:r>
        <w:rPr>
          <w:rFonts w:ascii="Arial" w:hAnsi="Arial" w:cs="Arial" w:eastAsia="Arial"/>
          <w:b/>
          <w:i w:val="0"/>
          <w:sz w:val="20"/>
        </w:rPr>
        <w:t>3.4</w:t>
      </w:r>
      <w:r>
        <w:rPr>
          <w:rFonts w:ascii="Arial" w:hAnsi="Arial" w:cs="Arial" w:eastAsia="Arial"/>
          <w:b w:val="0"/>
          <w:i w:val="0"/>
          <w:sz w:val="20"/>
        </w:rPr>
        <w:tab/>
        <w:t xml:space="preserve">Les contenus juridiques, financiers, contractuels et de communication externe font l'objet d'une seconde relecture par </w:t>
      </w:r>
      <w:r>
        <w:rPr>
          <w:rFonts w:ascii="Arial" w:hAnsi="Arial" w:cs="Arial" w:eastAsia="Arial"/>
          <w:b w:val="0"/>
          <w:i w:val="0"/>
          <w:sz w:val="20"/>
          <w:highlight w:val="yellow"/>
        </w:rPr>
        <w:t>[fonction]</w:t>
      </w:r>
      <w:r>
        <w:rPr>
          <w:rFonts w:ascii="Arial" w:hAnsi="Arial" w:cs="Arial" w:eastAsia="Arial"/>
          <w:b w:val="0"/>
          <w:i w:val="0"/>
          <w:sz w:val="20"/>
        </w:rPr>
        <w:t xml:space="preserve"> avant diffusion.</w:t>
      </w:r>
    </w:p>
    <w:p>
      <w:pPr>
        <w:pStyle w:val="Heading1"/>
        <w:pBdr>
          <w:bottom w:val="single" w:sz="6" w:space="2" w:color="C9D6CE"/>
        </w:pBdr>
      </w:pPr>
      <w:r>
        <w:rPr>
          <w:rFonts w:ascii="Arial" w:hAnsi="Arial" w:cs="Arial" w:eastAsia="Arial"/>
          <w:b/>
          <w:i w:val="0"/>
          <w:color w:val="15573D"/>
          <w:sz w:val="23"/>
        </w:rPr>
        <w:t>Article 4 — Transparence</w:t>
      </w:r>
    </w:p>
    <w:p>
      <w:pPr>
        <w:keepLines/>
        <w:tabs>
          <w:tab w:pos="567" w:val="left"/>
        </w:tabs>
        <w:ind w:left="567" w:hanging="567"/>
      </w:pPr>
      <w:r>
        <w:rPr>
          <w:rFonts w:ascii="Arial" w:hAnsi="Arial" w:cs="Arial" w:eastAsia="Arial"/>
          <w:b/>
          <w:i w:val="0"/>
          <w:sz w:val="20"/>
        </w:rPr>
        <w:t>4.1</w:t>
      </w:r>
      <w:r>
        <w:rPr>
          <w:rFonts w:ascii="Arial" w:hAnsi="Arial" w:cs="Arial" w:eastAsia="Arial"/>
          <w:b w:val="0"/>
          <w:i w:val="0"/>
          <w:sz w:val="20"/>
        </w:rPr>
        <w:tab/>
        <w:t>Tout assistant conversationnel destiné aux clients, aux candidats ou aux visiteurs indique, dès le premier échange, qu'il s'agit d'un système d'IA.</w:t>
      </w:r>
    </w:p>
    <w:p>
      <w:pPr>
        <w:keepLines/>
        <w:tabs>
          <w:tab w:pos="567" w:val="left"/>
        </w:tabs>
        <w:ind w:left="567" w:hanging="567"/>
      </w:pPr>
      <w:r>
        <w:rPr>
          <w:rFonts w:ascii="Arial" w:hAnsi="Arial" w:cs="Arial" w:eastAsia="Arial"/>
          <w:b/>
          <w:i w:val="0"/>
          <w:sz w:val="20"/>
        </w:rPr>
        <w:t>4.2</w:t>
      </w:r>
      <w:r>
        <w:rPr>
          <w:rFonts w:ascii="Arial" w:hAnsi="Arial" w:cs="Arial" w:eastAsia="Arial"/>
          <w:b w:val="0"/>
          <w:i w:val="0"/>
          <w:sz w:val="20"/>
        </w:rPr>
        <w:tab/>
        <w:t xml:space="preserve">Tout contenu image, audio ou vidéo généré ou modifié par un outil d'IA qui pourrait être pris pour authentique (personne, lieu ou événement réel) porte la mention « Contenu généré par intelligence artificielle » ou une mention équivalente validée par </w:t>
      </w:r>
      <w:r>
        <w:rPr>
          <w:rFonts w:ascii="Arial" w:hAnsi="Arial" w:cs="Arial" w:eastAsia="Arial"/>
          <w:b w:val="0"/>
          <w:i w:val="0"/>
          <w:sz w:val="20"/>
          <w:highlight w:val="yellow"/>
        </w:rPr>
        <w:t>[le référent IA]</w:t>
      </w:r>
      <w:r>
        <w:rPr>
          <w:rFonts w:ascii="Arial" w:hAnsi="Arial" w:cs="Arial" w:eastAsia="Arial"/>
          <w:b w:val="0"/>
          <w:i w:val="0"/>
          <w:sz w:val="20"/>
        </w:rPr>
        <w:t>.</w:t>
      </w:r>
    </w:p>
    <w:p>
      <w:pPr>
        <w:keepLines/>
        <w:tabs>
          <w:tab w:pos="567" w:val="left"/>
        </w:tabs>
        <w:ind w:left="567" w:hanging="567"/>
      </w:pPr>
      <w:r>
        <w:rPr>
          <w:rFonts w:ascii="Arial" w:hAnsi="Arial" w:cs="Arial" w:eastAsia="Arial"/>
          <w:b/>
          <w:i w:val="0"/>
          <w:sz w:val="20"/>
        </w:rPr>
        <w:t>4.3</w:t>
      </w:r>
      <w:r>
        <w:rPr>
          <w:rFonts w:ascii="Arial" w:hAnsi="Arial" w:cs="Arial" w:eastAsia="Arial"/>
          <w:b w:val="0"/>
          <w:i w:val="0"/>
          <w:sz w:val="20"/>
        </w:rPr>
        <w:tab/>
        <w:t>Tout texte généré par un outil d'IA et publié pour informer le public sur des questions d'intérêt public est signalé comme tel, sauf s'il a fait l'objet d'une relecture humaine et si une personne identifiée en assume la responsabilité éditoriale.</w:t>
      </w:r>
    </w:p>
    <w:p>
      <w:pPr>
        <w:keepLines/>
        <w:tabs>
          <w:tab w:pos="567" w:val="left"/>
        </w:tabs>
        <w:ind w:left="567" w:hanging="567"/>
      </w:pPr>
      <w:r>
        <w:rPr>
          <w:rFonts w:ascii="Arial" w:hAnsi="Arial" w:cs="Arial" w:eastAsia="Arial"/>
          <w:b/>
          <w:i w:val="0"/>
          <w:sz w:val="20"/>
        </w:rPr>
        <w:t>4.4</w:t>
      </w:r>
      <w:r>
        <w:rPr>
          <w:rFonts w:ascii="Arial" w:hAnsi="Arial" w:cs="Arial" w:eastAsia="Arial"/>
          <w:b w:val="0"/>
          <w:i w:val="0"/>
          <w:sz w:val="20"/>
        </w:rPr>
        <w:tab/>
        <w:t>Les mentions et marquages techniques ajoutés par les outils ne sont ni supprimés ni masqués. L'Utilisateur n'utilise pas l'IA pour se faire passer pour une personne réelle auprès d'un tiers.</w:t>
      </w:r>
    </w:p>
    <w:p>
      <w:pPr>
        <w:keepLines/>
        <w:tabs>
          <w:tab w:pos="567" w:val="left"/>
        </w:tabs>
        <w:ind w:left="567" w:hanging="567"/>
      </w:pPr>
      <w:r>
        <w:rPr>
          <w:rFonts w:ascii="Arial" w:hAnsi="Arial" w:cs="Arial" w:eastAsia="Arial"/>
          <w:b/>
          <w:i w:val="0"/>
          <w:sz w:val="20"/>
        </w:rPr>
        <w:t>4.5</w:t>
      </w:r>
      <w:r>
        <w:rPr>
          <w:rFonts w:ascii="Arial" w:hAnsi="Arial" w:cs="Arial" w:eastAsia="Arial"/>
          <w:b w:val="0"/>
          <w:i w:val="0"/>
          <w:sz w:val="20"/>
        </w:rPr>
        <w:tab/>
        <w:t xml:space="preserve">Tout nouveau service ou toute nouvelle publication qui utilise l'IA au contact du public est soumis à </w:t>
      </w:r>
      <w:r>
        <w:rPr>
          <w:rFonts w:ascii="Arial" w:hAnsi="Arial" w:cs="Arial" w:eastAsia="Arial"/>
          <w:b w:val="0"/>
          <w:i w:val="0"/>
          <w:sz w:val="20"/>
          <w:highlight w:val="yellow"/>
        </w:rPr>
        <w:t>[le référent IA]</w:t>
      </w:r>
      <w:r>
        <w:rPr>
          <w:rFonts w:ascii="Arial" w:hAnsi="Arial" w:cs="Arial" w:eastAsia="Arial"/>
          <w:b w:val="0"/>
          <w:i w:val="0"/>
          <w:sz w:val="20"/>
        </w:rPr>
        <w:t xml:space="preserve"> avant mise en ligne, afin de vérifier les mentions requises.</w:t>
      </w:r>
    </w:p>
    <w:p>
      <w:pPr>
        <w:pStyle w:val="Heading1"/>
        <w:pBdr>
          <w:bottom w:val="single" w:sz="6" w:space="2" w:color="C9D6CE"/>
        </w:pBdr>
      </w:pPr>
      <w:r>
        <w:rPr>
          <w:rFonts w:ascii="Arial" w:hAnsi="Arial" w:cs="Arial" w:eastAsia="Arial"/>
          <w:b/>
          <w:i w:val="0"/>
          <w:color w:val="15573D"/>
          <w:sz w:val="23"/>
        </w:rPr>
        <w:t>Article 5 — Propriété intellectuelle et confidentialité</w:t>
      </w:r>
    </w:p>
    <w:p>
      <w:pPr>
        <w:keepLines/>
        <w:tabs>
          <w:tab w:pos="567" w:val="left"/>
        </w:tabs>
        <w:ind w:left="567" w:hanging="567"/>
      </w:pPr>
      <w:r>
        <w:rPr>
          <w:rFonts w:ascii="Arial" w:hAnsi="Arial" w:cs="Arial" w:eastAsia="Arial"/>
          <w:b/>
          <w:i w:val="0"/>
          <w:sz w:val="20"/>
        </w:rPr>
        <w:t>5.1</w:t>
      </w:r>
      <w:r>
        <w:rPr>
          <w:rFonts w:ascii="Arial" w:hAnsi="Arial" w:cs="Arial" w:eastAsia="Arial"/>
          <w:b w:val="0"/>
          <w:i w:val="0"/>
          <w:sz w:val="20"/>
        </w:rPr>
        <w:tab/>
        <w:t>Les documents, codes et données de l'Entreprise ne sont déposés que dans les outils de l'annexe 1, dans les limites qui y sont indiquées. L'Utilisateur ne dépose pas de contenu appartenant à un tiers sans y être autorisé.</w:t>
      </w:r>
    </w:p>
    <w:p>
      <w:pPr>
        <w:keepLines/>
        <w:tabs>
          <w:tab w:pos="567" w:val="left"/>
        </w:tabs>
        <w:ind w:left="567" w:hanging="567"/>
      </w:pPr>
      <w:r>
        <w:rPr>
          <w:rFonts w:ascii="Arial" w:hAnsi="Arial" w:cs="Arial" w:eastAsia="Arial"/>
          <w:b/>
          <w:i w:val="0"/>
          <w:sz w:val="20"/>
        </w:rPr>
        <w:t>5.2</w:t>
      </w:r>
      <w:r>
        <w:rPr>
          <w:rFonts w:ascii="Arial" w:hAnsi="Arial" w:cs="Arial" w:eastAsia="Arial"/>
          <w:b w:val="0"/>
          <w:i w:val="0"/>
          <w:sz w:val="20"/>
        </w:rPr>
        <w:tab/>
        <w:t>Les informations confiées à l'Entreprise par ses clients et partenaires restent soumises aux obligations de confidentialité qui les protègent. L'usage d'un outil d'IA n'y déroge pas.</w:t>
      </w:r>
    </w:p>
    <w:p>
      <w:pPr>
        <w:keepLines/>
        <w:tabs>
          <w:tab w:pos="567" w:val="left"/>
        </w:tabs>
        <w:ind w:left="567" w:hanging="567"/>
      </w:pPr>
      <w:r>
        <w:rPr>
          <w:rFonts w:ascii="Arial" w:hAnsi="Arial" w:cs="Arial" w:eastAsia="Arial"/>
          <w:b/>
          <w:i w:val="0"/>
          <w:sz w:val="20"/>
        </w:rPr>
        <w:t>5.3</w:t>
      </w:r>
      <w:r>
        <w:rPr>
          <w:rFonts w:ascii="Arial" w:hAnsi="Arial" w:cs="Arial" w:eastAsia="Arial"/>
          <w:b w:val="0"/>
          <w:i w:val="0"/>
          <w:sz w:val="20"/>
        </w:rPr>
        <w:tab/>
        <w:t>Il est interdit d'utiliser un contenu généré qui reproduirait manifestement une œuvre, une marque, une image, un visage ou une voix appartenant à un tiers.</w:t>
      </w:r>
    </w:p>
    <w:p>
      <w:pPr>
        <w:keepLines/>
        <w:tabs>
          <w:tab w:pos="567" w:val="left"/>
        </w:tabs>
        <w:ind w:left="567" w:hanging="567"/>
      </w:pPr>
      <w:r>
        <w:rPr>
          <w:rFonts w:ascii="Arial" w:hAnsi="Arial" w:cs="Arial" w:eastAsia="Arial"/>
          <w:b/>
          <w:i w:val="0"/>
          <w:sz w:val="20"/>
        </w:rPr>
        <w:t>5.4</w:t>
      </w:r>
      <w:r>
        <w:rPr>
          <w:rFonts w:ascii="Arial" w:hAnsi="Arial" w:cs="Arial" w:eastAsia="Arial"/>
          <w:b w:val="0"/>
          <w:i w:val="0"/>
          <w:sz w:val="20"/>
        </w:rPr>
        <w:tab/>
        <w:t xml:space="preserve">Avant tout usage commercial d'un texte, d'une image, d'un code ou d'un son généré, l'Utilisateur vérifie les conditions d'utilisation de l'outil et, en cas de doute, consulte </w:t>
      </w:r>
      <w:r>
        <w:rPr>
          <w:rFonts w:ascii="Arial" w:hAnsi="Arial" w:cs="Arial" w:eastAsia="Arial"/>
          <w:b w:val="0"/>
          <w:i w:val="0"/>
          <w:sz w:val="20"/>
          <w:highlight w:val="yellow"/>
        </w:rPr>
        <w:t>[le référent IA]</w:t>
      </w:r>
      <w:r>
        <w:rPr>
          <w:rFonts w:ascii="Arial" w:hAnsi="Arial" w:cs="Arial" w:eastAsia="Arial"/>
          <w:b w:val="0"/>
          <w:i w:val="0"/>
          <w:sz w:val="20"/>
        </w:rPr>
        <w:t>.</w:t>
      </w:r>
    </w:p>
    <w:p>
      <w:pPr>
        <w:pStyle w:val="Heading1"/>
        <w:pBdr>
          <w:bottom w:val="single" w:sz="6" w:space="2" w:color="C9D6CE"/>
        </w:pBdr>
      </w:pPr>
      <w:r>
        <w:rPr>
          <w:rFonts w:ascii="Arial" w:hAnsi="Arial" w:cs="Arial" w:eastAsia="Arial"/>
          <w:b/>
          <w:i w:val="0"/>
          <w:color w:val="15573D"/>
          <w:sz w:val="23"/>
        </w:rPr>
        <w:t>Article 6 — Sécurité des comptes</w:t>
      </w:r>
    </w:p>
    <w:p>
      <w:pPr>
        <w:keepLines/>
        <w:tabs>
          <w:tab w:pos="567" w:val="left"/>
        </w:tabs>
        <w:ind w:left="567" w:hanging="567"/>
      </w:pPr>
      <w:r>
        <w:rPr>
          <w:rFonts w:ascii="Arial" w:hAnsi="Arial" w:cs="Arial" w:eastAsia="Arial"/>
          <w:b/>
          <w:i w:val="0"/>
          <w:sz w:val="20"/>
        </w:rPr>
        <w:t>6.1</w:t>
      </w:r>
      <w:r>
        <w:rPr>
          <w:rFonts w:ascii="Arial" w:hAnsi="Arial" w:cs="Arial" w:eastAsia="Arial"/>
          <w:b w:val="0"/>
          <w:i w:val="0"/>
          <w:sz w:val="20"/>
        </w:rPr>
        <w:tab/>
        <w:t>Les outils d'IA sont utilisés uniquement avec le compte professionnel fourni ou validé par l'Entreprise. L'usage d'un compte personnel à des fins professionnelles est interdit.</w:t>
      </w:r>
    </w:p>
    <w:p>
      <w:pPr>
        <w:keepLines/>
        <w:tabs>
          <w:tab w:pos="567" w:val="left"/>
        </w:tabs>
        <w:ind w:left="567" w:hanging="567"/>
      </w:pPr>
      <w:r>
        <w:rPr>
          <w:rFonts w:ascii="Arial" w:hAnsi="Arial" w:cs="Arial" w:eastAsia="Arial"/>
          <w:b/>
          <w:i w:val="0"/>
          <w:sz w:val="20"/>
        </w:rPr>
        <w:t>6.2</w:t>
      </w:r>
      <w:r>
        <w:rPr>
          <w:rFonts w:ascii="Arial" w:hAnsi="Arial" w:cs="Arial" w:eastAsia="Arial"/>
          <w:b w:val="0"/>
          <w:i w:val="0"/>
          <w:sz w:val="20"/>
        </w:rPr>
        <w:tab/>
        <w:t>Chaque compte est protégé par un mot de passe unique et robuste et, lorsqu'elle est proposée, par une authentification à plusieurs facteurs. Les identifiants ne sont jamais partagés.</w:t>
      </w:r>
    </w:p>
    <w:p>
      <w:pPr>
        <w:keepLines/>
        <w:tabs>
          <w:tab w:pos="567" w:val="left"/>
        </w:tabs>
        <w:ind w:left="567" w:hanging="567"/>
      </w:pPr>
      <w:r>
        <w:rPr>
          <w:rFonts w:ascii="Arial" w:hAnsi="Arial" w:cs="Arial" w:eastAsia="Arial"/>
          <w:b/>
          <w:i w:val="0"/>
          <w:sz w:val="20"/>
        </w:rPr>
        <w:t>6.3</w:t>
      </w:r>
      <w:r>
        <w:rPr>
          <w:rFonts w:ascii="Arial" w:hAnsi="Arial" w:cs="Arial" w:eastAsia="Arial"/>
          <w:b w:val="0"/>
          <w:i w:val="0"/>
          <w:sz w:val="20"/>
        </w:rPr>
        <w:tab/>
        <w:t xml:space="preserve">L'installation d'une extension, d'un connecteur ou d'un agent d'IA, et sa connexion à la messagerie, à l'agenda, aux fichiers ou aux logiciels de l'Entreprise, exigent la validation préalable de </w:t>
      </w:r>
      <w:r>
        <w:rPr>
          <w:rFonts w:ascii="Arial" w:hAnsi="Arial" w:cs="Arial" w:eastAsia="Arial"/>
          <w:b w:val="0"/>
          <w:i w:val="0"/>
          <w:sz w:val="20"/>
          <w:highlight w:val="yellow"/>
        </w:rPr>
        <w:t>[la DSI / le référent IA]</w:t>
      </w:r>
      <w:r>
        <w:rPr>
          <w:rFonts w:ascii="Arial" w:hAnsi="Arial" w:cs="Arial" w:eastAsia="Arial"/>
          <w:b w:val="0"/>
          <w:i w:val="0"/>
          <w:sz w:val="20"/>
        </w:rPr>
        <w:t>.</w:t>
      </w:r>
    </w:p>
    <w:p>
      <w:pPr>
        <w:keepLines/>
        <w:tabs>
          <w:tab w:pos="567" w:val="left"/>
        </w:tabs>
        <w:ind w:left="567" w:hanging="567"/>
      </w:pPr>
      <w:r>
        <w:rPr>
          <w:rFonts w:ascii="Arial" w:hAnsi="Arial" w:cs="Arial" w:eastAsia="Arial"/>
          <w:b/>
          <w:i w:val="0"/>
          <w:sz w:val="20"/>
        </w:rPr>
        <w:t>6.4</w:t>
      </w:r>
      <w:r>
        <w:rPr>
          <w:rFonts w:ascii="Arial" w:hAnsi="Arial" w:cs="Arial" w:eastAsia="Arial"/>
          <w:b w:val="0"/>
          <w:i w:val="0"/>
          <w:sz w:val="20"/>
        </w:rPr>
        <w:tab/>
      </w:r>
      <w:r>
        <w:rPr>
          <w:rFonts w:ascii="Arial" w:hAnsi="Arial" w:cs="Arial" w:eastAsia="Arial"/>
          <w:b/>
          <w:i w:val="0"/>
          <w:sz w:val="20"/>
        </w:rPr>
        <w:t>Option</w:t>
      </w:r>
      <w:r>
        <w:rPr>
          <w:rFonts w:ascii="Arial" w:hAnsi="Arial" w:cs="Arial" w:eastAsia="Arial"/>
          <w:b w:val="0"/>
          <w:i w:val="0"/>
          <w:sz w:val="20"/>
        </w:rPr>
        <w:t xml:space="preserve"> (à n'inclure qu'après information préalable des salariés et consultation du CSE) : l'Entreprise peut analyser les journaux d'utilisation des outils d'IA afin de vérifier le respect de la charte. Ces traces sont conservées </w:t>
      </w:r>
      <w:r>
        <w:rPr>
          <w:rFonts w:ascii="Arial" w:hAnsi="Arial" w:cs="Arial" w:eastAsia="Arial"/>
          <w:b w:val="0"/>
          <w:i w:val="0"/>
          <w:sz w:val="20"/>
          <w:highlight w:val="yellow"/>
        </w:rPr>
        <w:t>[durée]</w:t>
      </w:r>
      <w:r>
        <w:rPr>
          <w:rFonts w:ascii="Arial" w:hAnsi="Arial" w:cs="Arial" w:eastAsia="Arial"/>
          <w:b w:val="0"/>
          <w:i w:val="0"/>
          <w:sz w:val="20"/>
        </w:rPr>
        <w:t xml:space="preserve"> et accessibles aux seules personnes habilitées.</w:t>
      </w:r>
    </w:p>
    <w:p>
      <w:pPr>
        <w:pStyle w:val="Heading1"/>
        <w:pBdr>
          <w:bottom w:val="single" w:sz="6" w:space="2" w:color="C9D6CE"/>
        </w:pBdr>
      </w:pPr>
      <w:r>
        <w:rPr>
          <w:rFonts w:ascii="Arial" w:hAnsi="Arial" w:cs="Arial" w:eastAsia="Arial"/>
          <w:b/>
          <w:i w:val="0"/>
          <w:color w:val="15573D"/>
          <w:sz w:val="23"/>
        </w:rPr>
        <w:t>Article 7 — Formation et sensibilisation</w:t>
      </w:r>
    </w:p>
    <w:p>
      <w:pPr>
        <w:keepLines/>
        <w:tabs>
          <w:tab w:pos="567" w:val="left"/>
        </w:tabs>
        <w:ind w:left="567" w:hanging="567"/>
      </w:pPr>
      <w:r>
        <w:rPr>
          <w:rFonts w:ascii="Arial" w:hAnsi="Arial" w:cs="Arial" w:eastAsia="Arial"/>
          <w:b/>
          <w:i w:val="0"/>
          <w:sz w:val="20"/>
        </w:rPr>
        <w:t>7.1</w:t>
      </w:r>
      <w:r>
        <w:rPr>
          <w:rFonts w:ascii="Arial" w:hAnsi="Arial" w:cs="Arial" w:eastAsia="Arial"/>
          <w:b w:val="0"/>
          <w:i w:val="0"/>
          <w:sz w:val="20"/>
        </w:rPr>
        <w:tab/>
        <w:t>L'Entreprise prend des mesures pour favoriser la maîtrise de l'IA des Utilisateurs, en tenant compte de leurs connaissances, de leur expérience et de leur activité.</w:t>
      </w:r>
    </w:p>
    <w:p>
      <w:pPr>
        <w:keepLines/>
        <w:tabs>
          <w:tab w:pos="567" w:val="left"/>
        </w:tabs>
        <w:ind w:left="567" w:hanging="567"/>
      </w:pPr>
      <w:r>
        <w:rPr>
          <w:rFonts w:ascii="Arial" w:hAnsi="Arial" w:cs="Arial" w:eastAsia="Arial"/>
          <w:b/>
          <w:i w:val="0"/>
          <w:sz w:val="20"/>
        </w:rPr>
        <w:t>7.2</w:t>
      </w:r>
      <w:r>
        <w:rPr>
          <w:rFonts w:ascii="Arial" w:hAnsi="Arial" w:cs="Arial" w:eastAsia="Arial"/>
          <w:b w:val="0"/>
          <w:i w:val="0"/>
          <w:sz w:val="20"/>
        </w:rPr>
        <w:tab/>
        <w:t xml:space="preserve">La charte est présentée à chaque nouvel Utilisateur à son arrivée. Une session de sensibilisation est organisée </w:t>
      </w:r>
      <w:r>
        <w:rPr>
          <w:rFonts w:ascii="Arial" w:hAnsi="Arial" w:cs="Arial" w:eastAsia="Arial"/>
          <w:b w:val="0"/>
          <w:i w:val="0"/>
          <w:sz w:val="20"/>
          <w:highlight w:val="yellow"/>
        </w:rPr>
        <w:t>[une fois par an]</w:t>
      </w:r>
      <w:r>
        <w:rPr>
          <w:rFonts w:ascii="Arial" w:hAnsi="Arial" w:cs="Arial" w:eastAsia="Arial"/>
          <w:b w:val="0"/>
          <w:i w:val="0"/>
          <w:sz w:val="20"/>
        </w:rPr>
        <w:t xml:space="preserve"> et lors de l'ajout d'un outil qui présente de nouveaux risques.</w:t>
      </w:r>
    </w:p>
    <w:p>
      <w:pPr>
        <w:keepLines/>
        <w:tabs>
          <w:tab w:pos="567" w:val="left"/>
        </w:tabs>
        <w:ind w:left="567" w:hanging="567"/>
      </w:pPr>
      <w:r>
        <w:rPr>
          <w:rFonts w:ascii="Arial" w:hAnsi="Arial" w:cs="Arial" w:eastAsia="Arial"/>
          <w:b/>
          <w:i w:val="0"/>
          <w:sz w:val="20"/>
        </w:rPr>
        <w:t>7.3</w:t>
      </w:r>
      <w:r>
        <w:rPr>
          <w:rFonts w:ascii="Arial" w:hAnsi="Arial" w:cs="Arial" w:eastAsia="Arial"/>
          <w:b w:val="0"/>
          <w:i w:val="0"/>
          <w:sz w:val="20"/>
        </w:rPr>
        <w:tab/>
        <w:t>Les Utilisateurs dont l'activité expose à des risques particuliers (</w:t>
      </w:r>
      <w:r>
        <w:rPr>
          <w:rFonts w:ascii="Arial" w:hAnsi="Arial" w:cs="Arial" w:eastAsia="Arial"/>
          <w:b w:val="0"/>
          <w:i w:val="0"/>
          <w:sz w:val="20"/>
          <w:highlight w:val="yellow"/>
        </w:rPr>
        <w:t>[ressources humaines, juridique, communication, relation client, développement]</w:t>
      </w:r>
      <w:r>
        <w:rPr>
          <w:rFonts w:ascii="Arial" w:hAnsi="Arial" w:cs="Arial" w:eastAsia="Arial"/>
          <w:b w:val="0"/>
          <w:i w:val="0"/>
          <w:sz w:val="20"/>
        </w:rPr>
        <w:t>) suivent un module adapté.</w:t>
      </w:r>
    </w:p>
    <w:p>
      <w:pPr>
        <w:keepLines/>
        <w:tabs>
          <w:tab w:pos="567" w:val="left"/>
        </w:tabs>
        <w:ind w:left="567" w:hanging="567"/>
      </w:pPr>
      <w:r>
        <w:rPr>
          <w:rFonts w:ascii="Arial" w:hAnsi="Arial" w:cs="Arial" w:eastAsia="Arial"/>
          <w:b/>
          <w:i w:val="0"/>
          <w:sz w:val="20"/>
        </w:rPr>
        <w:t>7.4</w:t>
      </w:r>
      <w:r>
        <w:rPr>
          <w:rFonts w:ascii="Arial" w:hAnsi="Arial" w:cs="Arial" w:eastAsia="Arial"/>
          <w:b w:val="0"/>
          <w:i w:val="0"/>
          <w:sz w:val="20"/>
        </w:rPr>
        <w:tab/>
        <w:t>L'Entreprise conserve la trace des actions menées : date, contenu, participants.</w:t>
      </w:r>
    </w:p>
    <w:p>
      <w:pPr>
        <w:pStyle w:val="Heading1"/>
        <w:pBdr>
          <w:bottom w:val="single" w:sz="6" w:space="2" w:color="C9D6CE"/>
        </w:pBdr>
      </w:pPr>
      <w:r>
        <w:rPr>
          <w:rFonts w:ascii="Arial" w:hAnsi="Arial" w:cs="Arial" w:eastAsia="Arial"/>
          <w:b/>
          <w:i w:val="0"/>
          <w:color w:val="15573D"/>
          <w:sz w:val="23"/>
        </w:rPr>
        <w:t>Article 8 — Signalement des incidents</w:t>
      </w:r>
    </w:p>
    <w:p>
      <w:pPr>
        <w:keepLines/>
        <w:tabs>
          <w:tab w:pos="567" w:val="left"/>
        </w:tabs>
        <w:ind w:left="567" w:hanging="567"/>
      </w:pPr>
      <w:r>
        <w:rPr>
          <w:rFonts w:ascii="Arial" w:hAnsi="Arial" w:cs="Arial" w:eastAsia="Arial"/>
          <w:b/>
          <w:i w:val="0"/>
          <w:sz w:val="20"/>
        </w:rPr>
        <w:t>8.1</w:t>
      </w:r>
      <w:r>
        <w:rPr>
          <w:rFonts w:ascii="Arial" w:hAnsi="Arial" w:cs="Arial" w:eastAsia="Arial"/>
          <w:b w:val="0"/>
          <w:i w:val="0"/>
          <w:sz w:val="20"/>
        </w:rPr>
        <w:tab/>
        <w:t>Constitue un incident : la saisie de données interdites dans un outil d'IA, une fuite ou une perte de données, la diffusion d'un contenu erroné ou inapproprié, l'usage d'un outil non autorisé, la compromission d'un compte ou le comportement anormal d'un outil.</w:t>
      </w:r>
    </w:p>
    <w:p>
      <w:pPr>
        <w:keepLines/>
        <w:tabs>
          <w:tab w:pos="567" w:val="left"/>
        </w:tabs>
        <w:ind w:left="567" w:hanging="567"/>
      </w:pPr>
      <w:r>
        <w:rPr>
          <w:rFonts w:ascii="Arial" w:hAnsi="Arial" w:cs="Arial" w:eastAsia="Arial"/>
          <w:b/>
          <w:i w:val="0"/>
          <w:sz w:val="20"/>
        </w:rPr>
        <w:t>8.2</w:t>
      </w:r>
      <w:r>
        <w:rPr>
          <w:rFonts w:ascii="Arial" w:hAnsi="Arial" w:cs="Arial" w:eastAsia="Arial"/>
          <w:b w:val="0"/>
          <w:i w:val="0"/>
          <w:sz w:val="20"/>
        </w:rPr>
        <w:tab/>
        <w:t xml:space="preserve">Tout Utilisateur qui constate ou soupçonne un incident le signale sans délai, et au plus tard sous </w:t>
      </w:r>
      <w:r>
        <w:rPr>
          <w:rFonts w:ascii="Arial" w:hAnsi="Arial" w:cs="Arial" w:eastAsia="Arial"/>
          <w:b w:val="0"/>
          <w:i w:val="0"/>
          <w:sz w:val="20"/>
          <w:highlight w:val="yellow"/>
        </w:rPr>
        <w:t>[24 heures]</w:t>
      </w:r>
      <w:r>
        <w:rPr>
          <w:rFonts w:ascii="Arial" w:hAnsi="Arial" w:cs="Arial" w:eastAsia="Arial"/>
          <w:b w:val="0"/>
          <w:i w:val="0"/>
          <w:sz w:val="20"/>
        </w:rPr>
        <w:t xml:space="preserve">, à </w:t>
      </w:r>
      <w:r>
        <w:rPr>
          <w:rFonts w:ascii="Arial" w:hAnsi="Arial" w:cs="Arial" w:eastAsia="Arial"/>
          <w:b w:val="0"/>
          <w:i w:val="0"/>
          <w:sz w:val="20"/>
          <w:highlight w:val="yellow"/>
        </w:rPr>
        <w:t>[le référent IA]</w:t>
      </w:r>
      <w:r>
        <w:rPr>
          <w:rFonts w:ascii="Arial" w:hAnsi="Arial" w:cs="Arial" w:eastAsia="Arial"/>
          <w:b w:val="0"/>
          <w:i w:val="0"/>
          <w:sz w:val="20"/>
        </w:rPr>
        <w:t xml:space="preserve"> à l'adresse </w:t>
      </w:r>
      <w:r>
        <w:rPr>
          <w:rFonts w:ascii="Arial" w:hAnsi="Arial" w:cs="Arial" w:eastAsia="Arial"/>
          <w:b w:val="0"/>
          <w:i w:val="0"/>
          <w:sz w:val="20"/>
          <w:highlight w:val="yellow"/>
        </w:rPr>
        <w:t>[adresse e-mail]</w:t>
      </w:r>
      <w:r>
        <w:rPr>
          <w:rFonts w:ascii="Arial" w:hAnsi="Arial" w:cs="Arial" w:eastAsia="Arial"/>
          <w:b w:val="0"/>
          <w:i w:val="0"/>
          <w:sz w:val="20"/>
        </w:rPr>
        <w:t>. Il indique la date, l'outil, les données et les personnes concernées.</w:t>
      </w:r>
    </w:p>
    <w:p>
      <w:pPr>
        <w:keepLines/>
        <w:tabs>
          <w:tab w:pos="567" w:val="left"/>
        </w:tabs>
        <w:ind w:left="567" w:hanging="567"/>
      </w:pPr>
      <w:r>
        <w:rPr>
          <w:rFonts w:ascii="Arial" w:hAnsi="Arial" w:cs="Arial" w:eastAsia="Arial"/>
          <w:b/>
          <w:i w:val="0"/>
          <w:sz w:val="20"/>
        </w:rPr>
        <w:t>8.3</w:t>
      </w:r>
      <w:r>
        <w:rPr>
          <w:rFonts w:ascii="Arial" w:hAnsi="Arial" w:cs="Arial" w:eastAsia="Arial"/>
          <w:b w:val="0"/>
          <w:i w:val="0"/>
          <w:sz w:val="20"/>
        </w:rPr>
        <w:tab/>
        <w:t>Signaler un incident de bonne foi n'est pas une faute. Un signalement rapide permet de limiter les conséquences.</w:t>
      </w:r>
    </w:p>
    <w:p>
      <w:pPr>
        <w:keepLines/>
        <w:tabs>
          <w:tab w:pos="567" w:val="left"/>
        </w:tabs>
        <w:ind w:left="567" w:hanging="567"/>
      </w:pPr>
      <w:r>
        <w:rPr>
          <w:rFonts w:ascii="Arial" w:hAnsi="Arial" w:cs="Arial" w:eastAsia="Arial"/>
          <w:b/>
          <w:i w:val="0"/>
          <w:sz w:val="20"/>
        </w:rPr>
        <w:t>8.4</w:t>
      </w:r>
      <w:r>
        <w:rPr>
          <w:rFonts w:ascii="Arial" w:hAnsi="Arial" w:cs="Arial" w:eastAsia="Arial"/>
          <w:b w:val="0"/>
          <w:i w:val="0"/>
          <w:sz w:val="20"/>
        </w:rPr>
        <w:tab/>
        <w:t xml:space="preserve">Lorsque des données personnelles sont concernées, </w:t>
      </w:r>
      <w:r>
        <w:rPr>
          <w:rFonts w:ascii="Arial" w:hAnsi="Arial" w:cs="Arial" w:eastAsia="Arial"/>
          <w:b w:val="0"/>
          <w:i w:val="0"/>
          <w:sz w:val="20"/>
          <w:highlight w:val="yellow"/>
        </w:rPr>
        <w:t>[le DPO / la direction]</w:t>
      </w:r>
      <w:r>
        <w:rPr>
          <w:rFonts w:ascii="Arial" w:hAnsi="Arial" w:cs="Arial" w:eastAsia="Arial"/>
          <w:b w:val="0"/>
          <w:i w:val="0"/>
          <w:sz w:val="20"/>
        </w:rPr>
        <w:t xml:space="preserve"> apprécie la nécessité de notifier une violation de données à la CNIL et d'informer les personnes concernées, dans les délais légaux. L'incident est consigné dans </w:t>
      </w:r>
      <w:r>
        <w:rPr>
          <w:rFonts w:ascii="Arial" w:hAnsi="Arial" w:cs="Arial" w:eastAsia="Arial"/>
          <w:b w:val="0"/>
          <w:i w:val="0"/>
          <w:sz w:val="20"/>
          <w:highlight w:val="yellow"/>
        </w:rPr>
        <w:t>[le registre des incidents]</w:t>
      </w:r>
      <w:r>
        <w:rPr>
          <w:rFonts w:ascii="Arial" w:hAnsi="Arial" w:cs="Arial" w:eastAsia="Arial"/>
          <w:b w:val="0"/>
          <w:i w:val="0"/>
          <w:sz w:val="20"/>
        </w:rPr>
        <w:t>.</w:t>
      </w:r>
    </w:p>
    <w:p>
      <w:pPr>
        <w:pStyle w:val="Heading1"/>
        <w:pBdr>
          <w:bottom w:val="single" w:sz="6" w:space="2" w:color="C9D6CE"/>
        </w:pBdr>
      </w:pPr>
      <w:r>
        <w:rPr>
          <w:rFonts w:ascii="Arial" w:hAnsi="Arial" w:cs="Arial" w:eastAsia="Arial"/>
          <w:b/>
          <w:i w:val="0"/>
          <w:color w:val="15573D"/>
          <w:sz w:val="23"/>
        </w:rPr>
        <w:t>Article 9 — Sanctions et opposabilité</w:t>
      </w:r>
    </w:p>
    <w:p>
      <w:pPr>
        <w:keepLines/>
        <w:tabs>
          <w:tab w:pos="567" w:val="left"/>
        </w:tabs>
        <w:ind w:left="567" w:hanging="567"/>
      </w:pPr>
      <w:r>
        <w:rPr>
          <w:rFonts w:ascii="Arial" w:hAnsi="Arial" w:cs="Arial" w:eastAsia="Arial"/>
          <w:b/>
          <w:i w:val="0"/>
          <w:sz w:val="20"/>
        </w:rPr>
        <w:t>9.1</w:t>
      </w:r>
      <w:r>
        <w:rPr>
          <w:rFonts w:ascii="Arial" w:hAnsi="Arial" w:cs="Arial" w:eastAsia="Arial"/>
          <w:b w:val="0"/>
          <w:i w:val="0"/>
          <w:sz w:val="20"/>
        </w:rPr>
        <w:tab/>
        <w:t xml:space="preserve">La présente charte </w:t>
      </w:r>
      <w:r>
        <w:rPr>
          <w:rFonts w:ascii="Arial" w:hAnsi="Arial" w:cs="Arial" w:eastAsia="Arial"/>
          <w:b w:val="0"/>
          <w:i w:val="0"/>
          <w:sz w:val="20"/>
          <w:highlight w:val="yellow"/>
        </w:rPr>
        <w:t>[est annexée au règlement intérieur de l'Entreprise]</w:t>
      </w:r>
      <w:r>
        <w:rPr>
          <w:rFonts w:ascii="Arial" w:hAnsi="Arial" w:cs="Arial" w:eastAsia="Arial"/>
          <w:b w:val="0"/>
          <w:i w:val="0"/>
          <w:sz w:val="20"/>
        </w:rPr>
        <w:t xml:space="preserve"> et entre en vigueur le </w:t>
      </w:r>
      <w:r>
        <w:rPr>
          <w:rFonts w:ascii="Arial" w:hAnsi="Arial" w:cs="Arial" w:eastAsia="Arial"/>
          <w:b w:val="0"/>
          <w:i w:val="0"/>
          <w:sz w:val="20"/>
          <w:highlight w:val="yellow"/>
        </w:rPr>
        <w:t>[JJ/MM/AAAA]</w:t>
      </w:r>
      <w:r>
        <w:rPr>
          <w:rFonts w:ascii="Arial" w:hAnsi="Arial" w:cs="Arial" w:eastAsia="Arial"/>
          <w:b w:val="0"/>
          <w:i w:val="0"/>
          <w:sz w:val="20"/>
        </w:rPr>
        <w:t>, une fois accomplies les formalités prévues par le Code du travail.</w:t>
      </w:r>
    </w:p>
    <w:p>
      <w:pPr>
        <w:keepLines/>
        <w:tabs>
          <w:tab w:pos="567" w:val="left"/>
        </w:tabs>
        <w:ind w:left="567" w:hanging="567"/>
      </w:pPr>
      <w:r>
        <w:rPr>
          <w:rFonts w:ascii="Arial" w:hAnsi="Arial" w:cs="Arial" w:eastAsia="Arial"/>
          <w:b/>
          <w:i w:val="0"/>
          <w:sz w:val="20"/>
        </w:rPr>
        <w:t>9.2</w:t>
      </w:r>
      <w:r>
        <w:rPr>
          <w:rFonts w:ascii="Arial" w:hAnsi="Arial" w:cs="Arial" w:eastAsia="Arial"/>
          <w:b w:val="0"/>
          <w:i w:val="0"/>
          <w:sz w:val="20"/>
        </w:rPr>
        <w:tab/>
        <w:t>Tout manquement à la charte peut donner lieu à l'une des sanctions prévues par le règlement intérieur, dans le respect de la procédure disciplinaire et de manière proportionnée à la gravité des faits.</w:t>
      </w:r>
    </w:p>
    <w:p>
      <w:pPr>
        <w:keepLines/>
        <w:tabs>
          <w:tab w:pos="567" w:val="left"/>
        </w:tabs>
        <w:ind w:left="567" w:hanging="567"/>
      </w:pPr>
      <w:r>
        <w:rPr>
          <w:rFonts w:ascii="Arial" w:hAnsi="Arial" w:cs="Arial" w:eastAsia="Arial"/>
          <w:b/>
          <w:i w:val="0"/>
          <w:sz w:val="20"/>
        </w:rPr>
        <w:t>9.3</w:t>
      </w:r>
      <w:r>
        <w:rPr>
          <w:rFonts w:ascii="Arial" w:hAnsi="Arial" w:cs="Arial" w:eastAsia="Arial"/>
          <w:b w:val="0"/>
          <w:i w:val="0"/>
          <w:sz w:val="20"/>
        </w:rPr>
        <w:tab/>
        <w:t xml:space="preserve">Chaque Utilisateur salarié reçoit la charte et signe l'accusé de réception de l'annexe 2. Les prestataires et collaborateurs extérieurs s'engagent à la respecter par </w:t>
      </w:r>
      <w:r>
        <w:rPr>
          <w:rFonts w:ascii="Arial" w:hAnsi="Arial" w:cs="Arial" w:eastAsia="Arial"/>
          <w:b w:val="0"/>
          <w:i w:val="0"/>
          <w:sz w:val="20"/>
          <w:highlight w:val="yellow"/>
        </w:rPr>
        <w:t>[clause contractuelle / avenant]</w:t>
      </w:r>
      <w:r>
        <w:rPr>
          <w:rFonts w:ascii="Arial" w:hAnsi="Arial" w:cs="Arial" w:eastAsia="Arial"/>
          <w:b w:val="0"/>
          <w:i w:val="0"/>
          <w:sz w:val="20"/>
        </w:rPr>
        <w:t>.</w:t>
      </w:r>
    </w:p>
    <w:p>
      <w:pPr>
        <w:keepLines/>
        <w:pBdr>
          <w:left w:val="single" w:sz="12" w:space="6" w:color="B8731F"/>
        </w:pBdr>
        <w:spacing w:before="40"/>
        <w:ind w:left="567"/>
      </w:pPr>
      <w:r>
        <w:rPr>
          <w:rFonts w:ascii="Arial" w:hAnsi="Arial" w:cs="Arial" w:eastAsia="Arial"/>
          <w:b w:val="0"/>
          <w:i/>
          <w:color w:val="5A5751"/>
          <w:sz w:val="18"/>
        </w:rPr>
        <w:t>Note à supprimer avant diffusion. Pour pouvoir fonder une sanction, la charte suit en pratique la procédure du règlement intérieur : avis du CSE, communication à l'inspecteur du travail avec cet avis, mesures de publicité, entrée en vigueur au moins un mois après ces mesures (Code du travail, articles L. 1321-4 et L. 1321-5). Le règlement intérieur est obligatoire à partir de 50 salariés et facultatif en dessous. Sans règlement intérieur, ou en cas de doute, ne prévoyez pas de sanctions sans l'avis de votre conseil.</w:t>
      </w:r>
    </w:p>
    <w:p>
      <w:pPr>
        <w:pStyle w:val="Heading1"/>
        <w:pBdr>
          <w:bottom w:val="single" w:sz="6" w:space="2" w:color="C9D6CE"/>
        </w:pBdr>
      </w:pPr>
      <w:r>
        <w:rPr>
          <w:rFonts w:ascii="Arial" w:hAnsi="Arial" w:cs="Arial" w:eastAsia="Arial"/>
          <w:b/>
          <w:i w:val="0"/>
          <w:color w:val="15573D"/>
          <w:sz w:val="23"/>
        </w:rPr>
        <w:t>Article 10 — Révision et entrée en vigueur</w:t>
      </w:r>
    </w:p>
    <w:p>
      <w:pPr>
        <w:keepLines/>
        <w:tabs>
          <w:tab w:pos="567" w:val="left"/>
        </w:tabs>
        <w:ind w:left="567" w:hanging="567"/>
      </w:pPr>
      <w:r>
        <w:rPr>
          <w:rFonts w:ascii="Arial" w:hAnsi="Arial" w:cs="Arial" w:eastAsia="Arial"/>
          <w:b/>
          <w:i w:val="0"/>
          <w:sz w:val="20"/>
        </w:rPr>
        <w:t>10.1</w:t>
      </w:r>
      <w:r>
        <w:rPr>
          <w:rFonts w:ascii="Arial" w:hAnsi="Arial" w:cs="Arial" w:eastAsia="Arial"/>
          <w:b w:val="0"/>
          <w:i w:val="0"/>
          <w:sz w:val="20"/>
        </w:rPr>
        <w:tab/>
        <w:t xml:space="preserve">La charte est revue au moins une fois par an par </w:t>
      </w:r>
      <w:r>
        <w:rPr>
          <w:rFonts w:ascii="Arial" w:hAnsi="Arial" w:cs="Arial" w:eastAsia="Arial"/>
          <w:b w:val="0"/>
          <w:i w:val="0"/>
          <w:sz w:val="20"/>
          <w:highlight w:val="yellow"/>
        </w:rPr>
        <w:t>[le référent IA]</w:t>
      </w:r>
      <w:r>
        <w:rPr>
          <w:rFonts w:ascii="Arial" w:hAnsi="Arial" w:cs="Arial" w:eastAsia="Arial"/>
          <w:b w:val="0"/>
          <w:i w:val="0"/>
          <w:sz w:val="20"/>
        </w:rPr>
        <w:t xml:space="preserve"> et la direction, ainsi qu'à chaque ajout d'outil, incident significatif ou évolution de la réglementation applicable.</w:t>
      </w:r>
    </w:p>
    <w:p>
      <w:pPr>
        <w:keepLines/>
        <w:tabs>
          <w:tab w:pos="567" w:val="left"/>
        </w:tabs>
        <w:ind w:left="567" w:hanging="567"/>
      </w:pPr>
      <w:r>
        <w:rPr>
          <w:rFonts w:ascii="Arial" w:hAnsi="Arial" w:cs="Arial" w:eastAsia="Arial"/>
          <w:b/>
          <w:i w:val="0"/>
          <w:sz w:val="20"/>
        </w:rPr>
        <w:t>10.2</w:t>
      </w:r>
      <w:r>
        <w:rPr>
          <w:rFonts w:ascii="Arial" w:hAnsi="Arial" w:cs="Arial" w:eastAsia="Arial"/>
          <w:b w:val="0"/>
          <w:i w:val="0"/>
          <w:sz w:val="20"/>
        </w:rPr>
        <w:tab/>
        <w:t xml:space="preserve">Chaque version est numérotée et datée, et l'historique des versions est conservé. Les Utilisateurs sont informés de toute modification. </w:t>
      </w:r>
      <w:r>
        <w:rPr>
          <w:rFonts w:ascii="Arial" w:hAnsi="Arial" w:cs="Arial" w:eastAsia="Arial"/>
          <w:b w:val="0"/>
          <w:i w:val="0"/>
          <w:sz w:val="20"/>
          <w:highlight w:val="yellow"/>
        </w:rPr>
        <w:t>[Si la charte est annexée au règlement intérieur : sa modification suit la même procédure que son adoption.]</w:t>
      </w:r>
    </w:p>
    <w:p>
      <w:pPr>
        <w:keepLines/>
        <w:tabs>
          <w:tab w:pos="567" w:val="left"/>
        </w:tabs>
        <w:ind w:left="567" w:hanging="567"/>
      </w:pPr>
      <w:r>
        <w:rPr>
          <w:rFonts w:ascii="Arial" w:hAnsi="Arial" w:cs="Arial" w:eastAsia="Arial"/>
          <w:b/>
          <w:i w:val="0"/>
          <w:sz w:val="20"/>
        </w:rPr>
        <w:t>10.3</w:t>
      </w:r>
      <w:r>
        <w:rPr>
          <w:rFonts w:ascii="Arial" w:hAnsi="Arial" w:cs="Arial" w:eastAsia="Arial"/>
          <w:b w:val="0"/>
          <w:i w:val="0"/>
          <w:sz w:val="20"/>
        </w:rPr>
        <w:tab/>
        <w:t xml:space="preserve">La présente version entre en vigueur le </w:t>
      </w:r>
      <w:r>
        <w:rPr>
          <w:rFonts w:ascii="Arial" w:hAnsi="Arial" w:cs="Arial" w:eastAsia="Arial"/>
          <w:b w:val="0"/>
          <w:i w:val="0"/>
          <w:sz w:val="20"/>
          <w:highlight w:val="yellow"/>
        </w:rPr>
        <w:t>[JJ/MM/AAAA]</w:t>
      </w:r>
      <w:r>
        <w:rPr>
          <w:rFonts w:ascii="Arial" w:hAnsi="Arial" w:cs="Arial" w:eastAsia="Arial"/>
          <w:b w:val="0"/>
          <w:i w:val="0"/>
          <w:sz w:val="20"/>
        </w:rPr>
        <w:t>.</w:t>
      </w:r>
    </w:p>
    <w:p>
      <w:pPr>
        <w:keepNext/>
        <w:spacing w:after="40" w:before="160"/>
      </w:pPr>
      <w:r>
        <w:rPr>
          <w:rFonts w:ascii="Arial" w:hAnsi="Arial" w:cs="Arial" w:eastAsia="Arial"/>
          <w:b w:val="0"/>
          <w:i w:val="0"/>
          <w:sz w:val="20"/>
        </w:rPr>
        <w:t xml:space="preserve">Fait à </w:t>
      </w:r>
      <w:r>
        <w:rPr>
          <w:rFonts w:ascii="Arial" w:hAnsi="Arial" w:cs="Arial" w:eastAsia="Arial"/>
          <w:b w:val="0"/>
          <w:i w:val="0"/>
          <w:sz w:val="20"/>
          <w:highlight w:val="yellow"/>
        </w:rPr>
        <w:t>[lieu]</w:t>
      </w:r>
      <w:r>
        <w:rPr>
          <w:rFonts w:ascii="Arial" w:hAnsi="Arial" w:cs="Arial" w:eastAsia="Arial"/>
          <w:b w:val="0"/>
          <w:i w:val="0"/>
          <w:sz w:val="20"/>
        </w:rPr>
        <w:t xml:space="preserve">, le </w:t>
      </w:r>
      <w:r>
        <w:rPr>
          <w:rFonts w:ascii="Arial" w:hAnsi="Arial" w:cs="Arial" w:eastAsia="Arial"/>
          <w:b w:val="0"/>
          <w:i w:val="0"/>
          <w:sz w:val="20"/>
          <w:highlight w:val="yellow"/>
        </w:rPr>
        <w:t>[JJ/MM/AAAA]</w:t>
      </w:r>
    </w:p>
    <w:p>
      <w:pPr>
        <w:spacing w:after="40"/>
      </w:pPr>
      <w:r>
        <w:rPr>
          <w:rFonts w:ascii="Arial" w:hAnsi="Arial" w:cs="Arial" w:eastAsia="Arial"/>
          <w:b w:val="0"/>
          <w:i w:val="0"/>
          <w:sz w:val="20"/>
          <w:highlight w:val="yellow"/>
        </w:rPr>
        <w:t>[Nom, fonction du dirigeant]</w:t>
      </w:r>
      <w:r>
        <w:rPr>
          <w:rFonts w:ascii="Arial" w:hAnsi="Arial" w:cs="Arial" w:eastAsia="Arial"/>
          <w:b w:val="0"/>
          <w:i w:val="0"/>
          <w:sz w:val="20"/>
        </w:rPr>
        <w:t xml:space="preserve"> — Signature</w:t>
      </w:r>
    </w:p>
    <w:p>
      <w:pPr>
        <w:pStyle w:val="Heading1"/>
        <w:pBdr>
          <w:bottom w:val="single" w:sz="6" w:space="2" w:color="C9D6CE"/>
        </w:pBdr>
      </w:pPr>
      <w:r>
        <w:rPr>
          <w:rFonts w:ascii="Arial" w:hAnsi="Arial" w:cs="Arial" w:eastAsia="Arial"/>
          <w:b/>
          <w:i w:val="0"/>
          <w:color w:val="15573D"/>
          <w:sz w:val="23"/>
        </w:rPr>
        <w:t>Annexe 1 — Outils d'IA autorisés</w:t>
      </w:r>
    </w:p>
    <w:p>
      <w:pPr>
        <w:spacing w:after="120"/>
      </w:pPr>
      <w:r>
        <w:rPr>
          <w:rFonts w:ascii="Arial" w:hAnsi="Arial" w:cs="Arial" w:eastAsia="Arial"/>
          <w:b w:val="0"/>
          <w:i w:val="0"/>
          <w:sz w:val="20"/>
        </w:rPr>
        <w:t xml:space="preserve">Un outil qui ne figure pas dans ce tableau est interdit (article 1). Tableau tenu à jour par </w:t>
      </w:r>
      <w:r>
        <w:rPr>
          <w:rFonts w:ascii="Arial" w:hAnsi="Arial" w:cs="Arial" w:eastAsia="Arial"/>
          <w:b w:val="0"/>
          <w:i w:val="0"/>
          <w:sz w:val="20"/>
          <w:highlight w:val="yellow"/>
        </w:rPr>
        <w:t>[le référent IA]</w:t>
      </w:r>
      <w:r>
        <w:rPr>
          <w:rFonts w:ascii="Arial" w:hAnsi="Arial" w:cs="Arial" w:eastAsia="Arial"/>
          <w:b w:val="0"/>
          <w:i w:val="0"/>
          <w:sz w:val="20"/>
        </w:rPr>
        <w:t xml:space="preserve"> ; dernière mise à jour : </w:t>
      </w:r>
      <w:r>
        <w:rPr>
          <w:rFonts w:ascii="Arial" w:hAnsi="Arial" w:cs="Arial" w:eastAsia="Arial"/>
          <w:b w:val="0"/>
          <w:i w:val="0"/>
          <w:sz w:val="20"/>
          <w:highlight w:val="yellow"/>
        </w:rPr>
        <w:t>[JJ/MM/AAAA]</w:t>
      </w:r>
      <w:r>
        <w:rPr>
          <w:rFonts w:ascii="Arial" w:hAnsi="Arial" w:cs="Arial" w:eastAsia="Arial"/>
          <w:b w:val="0"/>
          <w:i w:val="0"/>
          <w:sz w:val="20"/>
        </w:rPr>
        <w:t>.</w:t>
      </w:r>
    </w:p>
    <w:tbl>
      <w:tblPr>
        <w:tblW w:type="auto" w:w="0"/>
        <w:jc w:val="left"/>
        <w:tblBorders>
          <w:top w:val="single" w:sz="4" w:space="0" w:color="B8C7BF"/>
          <w:left w:val="single" w:sz="4" w:space="0" w:color="B8C7BF"/>
          <w:bottom w:val="single" w:sz="4" w:space="0" w:color="B8C7BF"/>
          <w:right w:val="single" w:sz="4" w:space="0" w:color="B8C7BF"/>
          <w:insideH w:val="single" w:sz="4" w:space="0" w:color="B8C7BF"/>
          <w:insideV w:val="single" w:sz="4" w:space="0" w:color="B8C7BF"/>
        </w:tblBorders>
        <w:tblLayout w:type="fixed"/>
        <w:tblLook w:firstColumn="1" w:firstRow="1" w:lastColumn="0" w:lastRow="0" w:noHBand="0" w:noVBand="1" w:val="04A0"/>
      </w:tblPr>
      <w:tblGrid>
        <w:gridCol w:w="1701"/>
        <w:gridCol w:w="1304"/>
        <w:gridCol w:w="1814"/>
        <w:gridCol w:w="1701"/>
        <w:gridCol w:w="1701"/>
        <w:gridCol w:w="1417"/>
      </w:tblGrid>
      <w:tr>
        <w:trPr>
          <w:tblHeader w:val="true"/>
        </w:trPr>
        <w:tc>
          <w:tcPr>
            <w:tcW w:type="dxa" w:w="1701"/>
            <w:shd w:val="clear" w:color="auto" w:fill="EAF1ED"/>
            <w:tcMar>
              <w:top w:w="60" w:type="dxa"/>
              <w:left w:w="80" w:type="dxa"/>
              <w:bottom w:w="60" w:type="dxa"/>
              <w:right w:w="80" w:type="dxa"/>
            </w:tcMar>
          </w:tcPr>
          <w:p>
            <w:pPr>
              <w:spacing w:after="0"/>
            </w:pPr>
            <w:r>
              <w:rPr>
                <w:rFonts w:ascii="Arial" w:hAnsi="Arial" w:cs="Arial" w:eastAsia="Arial"/>
                <w:b/>
                <w:i w:val="0"/>
                <w:sz w:val="17"/>
              </w:rPr>
              <w:t>Outil et éditeur</w:t>
            </w:r>
          </w:p>
        </w:tc>
        <w:tc>
          <w:tcPr>
            <w:tcW w:type="dxa" w:w="1304"/>
            <w:shd w:val="clear" w:color="auto" w:fill="EAF1ED"/>
            <w:tcMar>
              <w:top w:w="60" w:type="dxa"/>
              <w:left w:w="80" w:type="dxa"/>
              <w:bottom w:w="60" w:type="dxa"/>
              <w:right w:w="80" w:type="dxa"/>
            </w:tcMar>
          </w:tcPr>
          <w:p>
            <w:pPr>
              <w:spacing w:after="0"/>
            </w:pPr>
            <w:r>
              <w:rPr>
                <w:rFonts w:ascii="Arial" w:hAnsi="Arial" w:cs="Arial" w:eastAsia="Arial"/>
                <w:b/>
                <w:i w:val="0"/>
                <w:sz w:val="17"/>
              </w:rPr>
              <w:t>Type de compte</w:t>
            </w:r>
          </w:p>
        </w:tc>
        <w:tc>
          <w:tcPr>
            <w:tcW w:type="dxa" w:w="1814"/>
            <w:shd w:val="clear" w:color="auto" w:fill="EAF1ED"/>
            <w:tcMar>
              <w:top w:w="60" w:type="dxa"/>
              <w:left w:w="80" w:type="dxa"/>
              <w:bottom w:w="60" w:type="dxa"/>
              <w:right w:w="80" w:type="dxa"/>
            </w:tcMar>
          </w:tcPr>
          <w:p>
            <w:pPr>
              <w:spacing w:after="0"/>
            </w:pPr>
            <w:r>
              <w:rPr>
                <w:rFonts w:ascii="Arial" w:hAnsi="Arial" w:cs="Arial" w:eastAsia="Arial"/>
                <w:b/>
                <w:i w:val="0"/>
                <w:sz w:val="17"/>
              </w:rPr>
              <w:t>Usages autorisés</w:t>
            </w:r>
          </w:p>
        </w:tc>
        <w:tc>
          <w:tcPr>
            <w:tcW w:type="dxa" w:w="1701"/>
            <w:shd w:val="clear" w:color="auto" w:fill="EAF1ED"/>
            <w:tcMar>
              <w:top w:w="60" w:type="dxa"/>
              <w:left w:w="80" w:type="dxa"/>
              <w:bottom w:w="60" w:type="dxa"/>
              <w:right w:w="80" w:type="dxa"/>
            </w:tcMar>
          </w:tcPr>
          <w:p>
            <w:pPr>
              <w:spacing w:after="0"/>
            </w:pPr>
            <w:r>
              <w:rPr>
                <w:rFonts w:ascii="Arial" w:hAnsi="Arial" w:cs="Arial" w:eastAsia="Arial"/>
                <w:b/>
                <w:i w:val="0"/>
                <w:sz w:val="17"/>
              </w:rPr>
              <w:t>Données autorisées</w:t>
            </w:r>
          </w:p>
        </w:tc>
        <w:tc>
          <w:tcPr>
            <w:tcW w:type="dxa" w:w="1701"/>
            <w:shd w:val="clear" w:color="auto" w:fill="EAF1ED"/>
            <w:tcMar>
              <w:top w:w="60" w:type="dxa"/>
              <w:left w:w="80" w:type="dxa"/>
              <w:bottom w:w="60" w:type="dxa"/>
              <w:right w:w="80" w:type="dxa"/>
            </w:tcMar>
          </w:tcPr>
          <w:p>
            <w:pPr>
              <w:spacing w:after="0"/>
            </w:pPr>
            <w:r>
              <w:rPr>
                <w:rFonts w:ascii="Arial" w:hAnsi="Arial" w:cs="Arial" w:eastAsia="Arial"/>
                <w:b/>
                <w:i w:val="0"/>
                <w:sz w:val="17"/>
              </w:rPr>
              <w:t>Données interdites</w:t>
            </w:r>
          </w:p>
        </w:tc>
        <w:tc>
          <w:tcPr>
            <w:tcW w:type="dxa" w:w="1417"/>
            <w:shd w:val="clear" w:color="auto" w:fill="EAF1ED"/>
            <w:tcMar>
              <w:top w:w="60" w:type="dxa"/>
              <w:left w:w="80" w:type="dxa"/>
              <w:bottom w:w="60" w:type="dxa"/>
              <w:right w:w="80" w:type="dxa"/>
            </w:tcMar>
          </w:tcPr>
          <w:p>
            <w:pPr>
              <w:spacing w:after="0"/>
            </w:pPr>
            <w:r>
              <w:rPr>
                <w:rFonts w:ascii="Arial" w:hAnsi="Arial" w:cs="Arial" w:eastAsia="Arial"/>
                <w:b/>
                <w:i w:val="0"/>
                <w:sz w:val="17"/>
              </w:rPr>
              <w:t>Validé par, date</w:t>
            </w:r>
          </w:p>
        </w:tc>
      </w:tr>
      <w:tr>
        <w:trPr>
          <w:trHeight w:val="538" w:hRule="atLeast"/>
        </w:trPr>
        <w:tc>
          <w:tcPr>
            <w:tcW w:type="dxa" w:w="1701"/>
            <w:tcMar>
              <w:top w:w="60" w:type="dxa"/>
              <w:left w:w="100" w:type="dxa"/>
              <w:bottom w:w="60" w:type="dxa"/>
              <w:right w:w="100" w:type="dxa"/>
            </w:tcMar>
          </w:tcPr>
          <w:p/>
        </w:tc>
        <w:tc>
          <w:tcPr>
            <w:tcW w:type="dxa" w:w="1304"/>
            <w:tcMar>
              <w:top w:w="60" w:type="dxa"/>
              <w:left w:w="100" w:type="dxa"/>
              <w:bottom w:w="60" w:type="dxa"/>
              <w:right w:w="100" w:type="dxa"/>
            </w:tcMar>
          </w:tcPr>
          <w:p/>
        </w:tc>
        <w:tc>
          <w:tcPr>
            <w:tcW w:type="dxa" w:w="1814"/>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417"/>
            <w:tcMar>
              <w:top w:w="60" w:type="dxa"/>
              <w:left w:w="100" w:type="dxa"/>
              <w:bottom w:w="60" w:type="dxa"/>
              <w:right w:w="100" w:type="dxa"/>
            </w:tcMar>
          </w:tcPr>
          <w:p/>
        </w:tc>
      </w:tr>
      <w:tr>
        <w:trPr>
          <w:trHeight w:val="538" w:hRule="atLeast"/>
        </w:trPr>
        <w:tc>
          <w:tcPr>
            <w:tcW w:type="dxa" w:w="1701"/>
            <w:tcMar>
              <w:top w:w="60" w:type="dxa"/>
              <w:left w:w="100" w:type="dxa"/>
              <w:bottom w:w="60" w:type="dxa"/>
              <w:right w:w="100" w:type="dxa"/>
            </w:tcMar>
          </w:tcPr>
          <w:p/>
        </w:tc>
        <w:tc>
          <w:tcPr>
            <w:tcW w:type="dxa" w:w="1304"/>
            <w:tcMar>
              <w:top w:w="60" w:type="dxa"/>
              <w:left w:w="100" w:type="dxa"/>
              <w:bottom w:w="60" w:type="dxa"/>
              <w:right w:w="100" w:type="dxa"/>
            </w:tcMar>
          </w:tcPr>
          <w:p/>
        </w:tc>
        <w:tc>
          <w:tcPr>
            <w:tcW w:type="dxa" w:w="1814"/>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417"/>
            <w:tcMar>
              <w:top w:w="60" w:type="dxa"/>
              <w:left w:w="100" w:type="dxa"/>
              <w:bottom w:w="60" w:type="dxa"/>
              <w:right w:w="100" w:type="dxa"/>
            </w:tcMar>
          </w:tcPr>
          <w:p/>
        </w:tc>
      </w:tr>
      <w:tr>
        <w:trPr>
          <w:trHeight w:val="538" w:hRule="atLeast"/>
        </w:trPr>
        <w:tc>
          <w:tcPr>
            <w:tcW w:type="dxa" w:w="1701"/>
            <w:tcMar>
              <w:top w:w="60" w:type="dxa"/>
              <w:left w:w="100" w:type="dxa"/>
              <w:bottom w:w="60" w:type="dxa"/>
              <w:right w:w="100" w:type="dxa"/>
            </w:tcMar>
          </w:tcPr>
          <w:p/>
        </w:tc>
        <w:tc>
          <w:tcPr>
            <w:tcW w:type="dxa" w:w="1304"/>
            <w:tcMar>
              <w:top w:w="60" w:type="dxa"/>
              <w:left w:w="100" w:type="dxa"/>
              <w:bottom w:w="60" w:type="dxa"/>
              <w:right w:w="100" w:type="dxa"/>
            </w:tcMar>
          </w:tcPr>
          <w:p/>
        </w:tc>
        <w:tc>
          <w:tcPr>
            <w:tcW w:type="dxa" w:w="1814"/>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417"/>
            <w:tcMar>
              <w:top w:w="60" w:type="dxa"/>
              <w:left w:w="100" w:type="dxa"/>
              <w:bottom w:w="60" w:type="dxa"/>
              <w:right w:w="100" w:type="dxa"/>
            </w:tcMar>
          </w:tcPr>
          <w:p/>
        </w:tc>
      </w:tr>
      <w:tr>
        <w:trPr>
          <w:trHeight w:val="538" w:hRule="atLeast"/>
        </w:trPr>
        <w:tc>
          <w:tcPr>
            <w:tcW w:type="dxa" w:w="1701"/>
            <w:tcMar>
              <w:top w:w="60" w:type="dxa"/>
              <w:left w:w="100" w:type="dxa"/>
              <w:bottom w:w="60" w:type="dxa"/>
              <w:right w:w="100" w:type="dxa"/>
            </w:tcMar>
          </w:tcPr>
          <w:p/>
        </w:tc>
        <w:tc>
          <w:tcPr>
            <w:tcW w:type="dxa" w:w="1304"/>
            <w:tcMar>
              <w:top w:w="60" w:type="dxa"/>
              <w:left w:w="100" w:type="dxa"/>
              <w:bottom w:w="60" w:type="dxa"/>
              <w:right w:w="100" w:type="dxa"/>
            </w:tcMar>
          </w:tcPr>
          <w:p/>
        </w:tc>
        <w:tc>
          <w:tcPr>
            <w:tcW w:type="dxa" w:w="1814"/>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417"/>
            <w:tcMar>
              <w:top w:w="60" w:type="dxa"/>
              <w:left w:w="100" w:type="dxa"/>
              <w:bottom w:w="60" w:type="dxa"/>
              <w:right w:w="100" w:type="dxa"/>
            </w:tcMar>
          </w:tcPr>
          <w:p/>
        </w:tc>
      </w:tr>
      <w:tr>
        <w:trPr>
          <w:trHeight w:val="538" w:hRule="atLeast"/>
        </w:trPr>
        <w:tc>
          <w:tcPr>
            <w:tcW w:type="dxa" w:w="1701"/>
            <w:tcMar>
              <w:top w:w="60" w:type="dxa"/>
              <w:left w:w="100" w:type="dxa"/>
              <w:bottom w:w="60" w:type="dxa"/>
              <w:right w:w="100" w:type="dxa"/>
            </w:tcMar>
          </w:tcPr>
          <w:p/>
        </w:tc>
        <w:tc>
          <w:tcPr>
            <w:tcW w:type="dxa" w:w="1304"/>
            <w:tcMar>
              <w:top w:w="60" w:type="dxa"/>
              <w:left w:w="100" w:type="dxa"/>
              <w:bottom w:w="60" w:type="dxa"/>
              <w:right w:w="100" w:type="dxa"/>
            </w:tcMar>
          </w:tcPr>
          <w:p/>
        </w:tc>
        <w:tc>
          <w:tcPr>
            <w:tcW w:type="dxa" w:w="1814"/>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417"/>
            <w:tcMar>
              <w:top w:w="60" w:type="dxa"/>
              <w:left w:w="100" w:type="dxa"/>
              <w:bottom w:w="60" w:type="dxa"/>
              <w:right w:w="100" w:type="dxa"/>
            </w:tcMar>
          </w:tcPr>
          <w:p/>
        </w:tc>
      </w:tr>
      <w:tr>
        <w:trPr>
          <w:trHeight w:val="538" w:hRule="atLeast"/>
        </w:trPr>
        <w:tc>
          <w:tcPr>
            <w:tcW w:type="dxa" w:w="1701"/>
            <w:tcMar>
              <w:top w:w="60" w:type="dxa"/>
              <w:left w:w="100" w:type="dxa"/>
              <w:bottom w:w="60" w:type="dxa"/>
              <w:right w:w="100" w:type="dxa"/>
            </w:tcMar>
          </w:tcPr>
          <w:p/>
        </w:tc>
        <w:tc>
          <w:tcPr>
            <w:tcW w:type="dxa" w:w="1304"/>
            <w:tcMar>
              <w:top w:w="60" w:type="dxa"/>
              <w:left w:w="100" w:type="dxa"/>
              <w:bottom w:w="60" w:type="dxa"/>
              <w:right w:w="100" w:type="dxa"/>
            </w:tcMar>
          </w:tcPr>
          <w:p/>
        </w:tc>
        <w:tc>
          <w:tcPr>
            <w:tcW w:type="dxa" w:w="1814"/>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417"/>
            <w:tcMar>
              <w:top w:w="60" w:type="dxa"/>
              <w:left w:w="100" w:type="dxa"/>
              <w:bottom w:w="60" w:type="dxa"/>
              <w:right w:w="100" w:type="dxa"/>
            </w:tcMar>
          </w:tcPr>
          <w:p/>
        </w:tc>
      </w:tr>
      <w:tr>
        <w:trPr>
          <w:trHeight w:val="538" w:hRule="atLeast"/>
        </w:trPr>
        <w:tc>
          <w:tcPr>
            <w:tcW w:type="dxa" w:w="1701"/>
            <w:tcMar>
              <w:top w:w="60" w:type="dxa"/>
              <w:left w:w="100" w:type="dxa"/>
              <w:bottom w:w="60" w:type="dxa"/>
              <w:right w:w="100" w:type="dxa"/>
            </w:tcMar>
          </w:tcPr>
          <w:p/>
        </w:tc>
        <w:tc>
          <w:tcPr>
            <w:tcW w:type="dxa" w:w="1304"/>
            <w:tcMar>
              <w:top w:w="60" w:type="dxa"/>
              <w:left w:w="100" w:type="dxa"/>
              <w:bottom w:w="60" w:type="dxa"/>
              <w:right w:w="100" w:type="dxa"/>
            </w:tcMar>
          </w:tcPr>
          <w:p/>
        </w:tc>
        <w:tc>
          <w:tcPr>
            <w:tcW w:type="dxa" w:w="1814"/>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701"/>
            <w:tcMar>
              <w:top w:w="60" w:type="dxa"/>
              <w:left w:w="100" w:type="dxa"/>
              <w:bottom w:w="60" w:type="dxa"/>
              <w:right w:w="100" w:type="dxa"/>
            </w:tcMar>
          </w:tcPr>
          <w:p/>
        </w:tc>
        <w:tc>
          <w:tcPr>
            <w:tcW w:type="dxa" w:w="1417"/>
            <w:tcMar>
              <w:top w:w="60" w:type="dxa"/>
              <w:left w:w="100" w:type="dxa"/>
              <w:bottom w:w="60" w:type="dxa"/>
              <w:right w:w="100" w:type="dxa"/>
            </w:tcMar>
          </w:tcPr>
          <w:p/>
        </w:tc>
      </w:tr>
    </w:tbl>
    <w:p>
      <w:pPr>
        <w:pStyle w:val="Heading1"/>
        <w:pageBreakBefore/>
        <w:pBdr>
          <w:bottom w:val="single" w:sz="6" w:space="2" w:color="C9D6CE"/>
        </w:pBdr>
      </w:pPr>
      <w:r>
        <w:rPr>
          <w:rFonts w:ascii="Arial" w:hAnsi="Arial" w:cs="Arial" w:eastAsia="Arial"/>
          <w:b/>
          <w:i w:val="0"/>
          <w:color w:val="15573D"/>
          <w:sz w:val="23"/>
        </w:rPr>
        <w:t>Annexe 2 — Accusé de réception et engagement</w:t>
      </w:r>
    </w:p>
    <w:p>
      <w:pPr>
        <w:spacing w:after="60"/>
      </w:pPr>
      <w:r>
        <w:rPr>
          <w:rFonts w:ascii="Arial" w:hAnsi="Arial" w:cs="Arial" w:eastAsia="Arial"/>
          <w:b w:val="0"/>
          <w:i w:val="0"/>
          <w:sz w:val="20"/>
        </w:rPr>
        <w:t xml:space="preserve">Je soussigné(e) </w:t>
      </w:r>
      <w:r>
        <w:rPr>
          <w:rFonts w:ascii="Arial" w:hAnsi="Arial" w:cs="Arial" w:eastAsia="Arial"/>
          <w:b w:val="0"/>
          <w:i w:val="0"/>
          <w:sz w:val="20"/>
          <w:highlight w:val="yellow"/>
        </w:rPr>
        <w:t>[Prénom NOM]</w:t>
      </w:r>
      <w:r>
        <w:rPr>
          <w:rFonts w:ascii="Arial" w:hAnsi="Arial" w:cs="Arial" w:eastAsia="Arial"/>
          <w:b w:val="0"/>
          <w:i w:val="0"/>
          <w:sz w:val="20"/>
        </w:rPr>
        <w:t xml:space="preserve">, </w:t>
      </w:r>
      <w:r>
        <w:rPr>
          <w:rFonts w:ascii="Arial" w:hAnsi="Arial" w:cs="Arial" w:eastAsia="Arial"/>
          <w:b w:val="0"/>
          <w:i w:val="0"/>
          <w:sz w:val="20"/>
          <w:highlight w:val="yellow"/>
        </w:rPr>
        <w:t>[fonction]</w:t>
      </w:r>
      <w:r>
        <w:rPr>
          <w:rFonts w:ascii="Arial" w:hAnsi="Arial" w:cs="Arial" w:eastAsia="Arial"/>
          <w:b w:val="0"/>
          <w:i w:val="0"/>
          <w:sz w:val="20"/>
        </w:rPr>
        <w:t>, déclare :</w:t>
      </w:r>
    </w:p>
    <w:p>
      <w:pPr>
        <w:pStyle w:val="ListBullet"/>
        <w:keepLines/>
        <w:ind w:left="907" w:hanging="283"/>
      </w:pPr>
      <w:r>
        <w:rPr>
          <w:rFonts w:ascii="Arial" w:hAnsi="Arial" w:cs="Arial" w:eastAsia="Arial"/>
          <w:b w:val="0"/>
          <w:i w:val="0"/>
          <w:sz w:val="20"/>
        </w:rPr>
        <w:t xml:space="preserve">avoir reçu la Charte d'utilisation de l'intelligence artificielle de </w:t>
      </w:r>
      <w:r>
        <w:rPr>
          <w:rFonts w:ascii="Arial" w:hAnsi="Arial" w:cs="Arial" w:eastAsia="Arial"/>
          <w:b w:val="0"/>
          <w:i w:val="0"/>
          <w:sz w:val="20"/>
          <w:highlight w:val="yellow"/>
        </w:rPr>
        <w:t>[Nom de l'entreprise]</w:t>
      </w:r>
      <w:r>
        <w:rPr>
          <w:rFonts w:ascii="Arial" w:hAnsi="Arial" w:cs="Arial" w:eastAsia="Arial"/>
          <w:b w:val="0"/>
          <w:i w:val="0"/>
          <w:sz w:val="20"/>
        </w:rPr>
        <w:t xml:space="preserve">, version </w:t>
      </w:r>
      <w:r>
        <w:rPr>
          <w:rFonts w:ascii="Arial" w:hAnsi="Arial" w:cs="Arial" w:eastAsia="Arial"/>
          <w:b w:val="0"/>
          <w:i w:val="0"/>
          <w:sz w:val="20"/>
          <w:highlight w:val="yellow"/>
        </w:rPr>
        <w:t>[1.0]</w:t>
      </w:r>
      <w:r>
        <w:rPr>
          <w:rFonts w:ascii="Arial" w:hAnsi="Arial" w:cs="Arial" w:eastAsia="Arial"/>
          <w:b w:val="0"/>
          <w:i w:val="0"/>
          <w:sz w:val="20"/>
        </w:rPr>
        <w:t xml:space="preserve"> en vigueur le </w:t>
      </w:r>
      <w:r>
        <w:rPr>
          <w:rFonts w:ascii="Arial" w:hAnsi="Arial" w:cs="Arial" w:eastAsia="Arial"/>
          <w:b w:val="0"/>
          <w:i w:val="0"/>
          <w:sz w:val="20"/>
          <w:highlight w:val="yellow"/>
        </w:rPr>
        <w:t>[JJ/MM/AAAA]</w:t>
      </w:r>
      <w:r>
        <w:rPr>
          <w:rFonts w:ascii="Arial" w:hAnsi="Arial" w:cs="Arial" w:eastAsia="Arial"/>
          <w:b w:val="0"/>
          <w:i w:val="0"/>
          <w:sz w:val="20"/>
        </w:rPr>
        <w:t>, et en avoir pris connaissance ;</w:t>
      </w:r>
    </w:p>
    <w:p>
      <w:pPr>
        <w:pStyle w:val="ListBullet"/>
        <w:keepLines/>
        <w:ind w:left="907" w:hanging="283"/>
      </w:pPr>
      <w:r>
        <w:rPr>
          <w:rFonts w:ascii="Arial" w:hAnsi="Arial" w:cs="Arial" w:eastAsia="Arial"/>
          <w:b w:val="0"/>
          <w:i w:val="0"/>
          <w:sz w:val="20"/>
        </w:rPr>
        <w:t xml:space="preserve">avoir pu poser mes questions à </w:t>
      </w:r>
      <w:r>
        <w:rPr>
          <w:rFonts w:ascii="Arial" w:hAnsi="Arial" w:cs="Arial" w:eastAsia="Arial"/>
          <w:b w:val="0"/>
          <w:i w:val="0"/>
          <w:sz w:val="20"/>
          <w:highlight w:val="yellow"/>
        </w:rPr>
        <w:t>[le référent IA]</w:t>
      </w:r>
      <w:r>
        <w:rPr>
          <w:rFonts w:ascii="Arial" w:hAnsi="Arial" w:cs="Arial" w:eastAsia="Arial"/>
          <w:b w:val="0"/>
          <w:i w:val="0"/>
          <w:sz w:val="20"/>
        </w:rPr>
        <w:t xml:space="preserve"> ;</w:t>
      </w:r>
    </w:p>
    <w:p>
      <w:pPr>
        <w:pStyle w:val="ListBullet"/>
        <w:keepLines/>
        <w:ind w:left="907" w:hanging="283"/>
      </w:pPr>
      <w:r>
        <w:rPr>
          <w:rFonts w:ascii="Arial" w:hAnsi="Arial" w:cs="Arial" w:eastAsia="Arial"/>
          <w:b w:val="0"/>
          <w:i w:val="0"/>
          <w:sz w:val="20"/>
        </w:rPr>
        <w:t>m'engager à la respecter, en particulier à n'utiliser que les outils autorisés, à ne saisir aucune donnée interdite, à relire et vérifier les contenus produits avec l'IA et à signaler sans délai tout incident.</w:t>
      </w:r>
    </w:p>
    <w:p>
      <w:pPr>
        <w:keepNext/>
        <w:spacing w:after="80" w:before="120"/>
      </w:pPr>
      <w:r>
        <w:rPr>
          <w:rFonts w:ascii="Arial" w:hAnsi="Arial" w:cs="Arial" w:eastAsia="Arial"/>
          <w:b w:val="0"/>
          <w:i w:val="0"/>
          <w:sz w:val="20"/>
        </w:rPr>
        <w:t xml:space="preserve">Fait à </w:t>
      </w:r>
      <w:r>
        <w:rPr>
          <w:rFonts w:ascii="Arial" w:hAnsi="Arial" w:cs="Arial" w:eastAsia="Arial"/>
          <w:b w:val="0"/>
          <w:i w:val="0"/>
          <w:sz w:val="20"/>
          <w:highlight w:val="yellow"/>
        </w:rPr>
        <w:t>[lieu]</w:t>
      </w:r>
      <w:r>
        <w:rPr>
          <w:rFonts w:ascii="Arial" w:hAnsi="Arial" w:cs="Arial" w:eastAsia="Arial"/>
          <w:b w:val="0"/>
          <w:i w:val="0"/>
          <w:sz w:val="20"/>
        </w:rPr>
        <w:t xml:space="preserve">, le </w:t>
      </w:r>
      <w:r>
        <w:rPr>
          <w:rFonts w:ascii="Arial" w:hAnsi="Arial" w:cs="Arial" w:eastAsia="Arial"/>
          <w:b w:val="0"/>
          <w:i w:val="0"/>
          <w:sz w:val="20"/>
          <w:highlight w:val="yellow"/>
        </w:rPr>
        <w:t>[JJ/MM/AAAA]</w:t>
      </w:r>
    </w:p>
    <w:tbl>
      <w:tblPr>
        <w:tblW w:type="auto" w:w="0"/>
        <w:jc w:val="left"/>
        <w:tblBorders>
          <w:top w:val="single" w:sz="4" w:space="0" w:color="B8C7BF"/>
          <w:left w:val="single" w:sz="4" w:space="0" w:color="B8C7BF"/>
          <w:bottom w:val="single" w:sz="4" w:space="0" w:color="B8C7BF"/>
          <w:right w:val="single" w:sz="4" w:space="0" w:color="B8C7BF"/>
          <w:insideH w:val="single" w:sz="4" w:space="0" w:color="B8C7BF"/>
          <w:insideV w:val="single" w:sz="4" w:space="0" w:color="B8C7BF"/>
        </w:tblBorders>
        <w:tblLayout w:type="fixed"/>
        <w:tblLook w:firstColumn="1" w:firstRow="1" w:lastColumn="0" w:lastRow="0" w:noHBand="0" w:noVBand="1" w:val="04A0"/>
      </w:tblPr>
      <w:tblGrid>
        <w:gridCol w:w="4819"/>
        <w:gridCol w:w="4819"/>
      </w:tblGrid>
      <w:tr>
        <w:tc>
          <w:tcPr>
            <w:tcW w:type="dxa" w:w="4819"/>
            <w:shd w:val="clear" w:color="auto" w:fill="EAF1ED"/>
            <w:tcMar>
              <w:top w:w="60" w:type="dxa"/>
              <w:left w:w="100" w:type="dxa"/>
              <w:bottom w:w="60" w:type="dxa"/>
              <w:right w:w="100" w:type="dxa"/>
            </w:tcMar>
          </w:tcPr>
          <w:p>
            <w:pPr>
              <w:spacing w:after="0"/>
            </w:pPr>
            <w:r>
              <w:rPr>
                <w:rFonts w:ascii="Arial" w:hAnsi="Arial" w:cs="Arial" w:eastAsia="Arial"/>
                <w:b/>
                <w:i w:val="0"/>
                <w:sz w:val="18"/>
              </w:rPr>
              <w:t xml:space="preserve">L'Utilisateur : </w:t>
            </w:r>
            <w:r>
              <w:rPr>
                <w:rFonts w:ascii="Arial" w:hAnsi="Arial" w:cs="Arial" w:eastAsia="Arial"/>
                <w:b/>
                <w:i w:val="0"/>
                <w:sz w:val="18"/>
                <w:highlight w:val="yellow"/>
              </w:rPr>
              <w:t>[Prénom NOM]</w:t>
            </w:r>
          </w:p>
          <w:p>
            <w:pPr>
              <w:spacing w:after="0"/>
            </w:pPr>
            <w:r>
              <w:rPr>
                <w:rFonts w:ascii="Arial" w:hAnsi="Arial" w:cs="Arial" w:eastAsia="Arial"/>
                <w:b w:val="0"/>
                <w:i w:val="0"/>
                <w:color w:val="5A5751"/>
                <w:sz w:val="17"/>
              </w:rPr>
              <w:t>Signature précédée de la mention « Lu et approuvé »</w:t>
            </w:r>
          </w:p>
        </w:tc>
        <w:tc>
          <w:tcPr>
            <w:tcW w:type="dxa" w:w="4819"/>
            <w:shd w:val="clear" w:color="auto" w:fill="EAF1ED"/>
            <w:tcMar>
              <w:top w:w="60" w:type="dxa"/>
              <w:left w:w="100" w:type="dxa"/>
              <w:bottom w:w="60" w:type="dxa"/>
              <w:right w:w="100" w:type="dxa"/>
            </w:tcMar>
          </w:tcPr>
          <w:p>
            <w:pPr>
              <w:spacing w:after="0"/>
            </w:pPr>
            <w:r>
              <w:rPr>
                <w:rFonts w:ascii="Arial" w:hAnsi="Arial" w:cs="Arial" w:eastAsia="Arial"/>
                <w:b/>
                <w:i w:val="0"/>
                <w:sz w:val="18"/>
              </w:rPr>
              <w:t xml:space="preserve">Pour l'Entreprise : </w:t>
            </w:r>
            <w:r>
              <w:rPr>
                <w:rFonts w:ascii="Arial" w:hAnsi="Arial" w:cs="Arial" w:eastAsia="Arial"/>
                <w:b/>
                <w:i w:val="0"/>
                <w:sz w:val="18"/>
                <w:highlight w:val="yellow"/>
              </w:rPr>
              <w:t>[Nom, fonction]</w:t>
            </w:r>
          </w:p>
          <w:p>
            <w:pPr>
              <w:spacing w:after="0"/>
            </w:pPr>
            <w:r>
              <w:rPr>
                <w:rFonts w:ascii="Arial" w:hAnsi="Arial" w:cs="Arial" w:eastAsia="Arial"/>
                <w:b w:val="0"/>
                <w:i w:val="0"/>
                <w:color w:val="5A5751"/>
                <w:sz w:val="17"/>
              </w:rPr>
              <w:t>Signature</w:t>
            </w:r>
          </w:p>
        </w:tc>
      </w:tr>
      <w:tr>
        <w:trPr>
          <w:trHeight w:val="1360" w:hRule="atLeast"/>
          <w:trHeight w:val="1360" w:hRule="atLeast"/>
        </w:trPr>
        <w:tc>
          <w:tcPr>
            <w:tcW w:type="dxa" w:w="4819"/>
            <w:tcMar>
              <w:top w:w="60" w:type="dxa"/>
              <w:left w:w="100" w:type="dxa"/>
              <w:bottom w:w="60" w:type="dxa"/>
              <w:right w:w="100" w:type="dxa"/>
            </w:tcMar>
          </w:tcPr>
          <w:p/>
        </w:tc>
        <w:tc>
          <w:tcPr>
            <w:tcW w:type="dxa" w:w="4819"/>
            <w:tcMar>
              <w:top w:w="60" w:type="dxa"/>
              <w:left w:w="100" w:type="dxa"/>
              <w:bottom w:w="60" w:type="dxa"/>
              <w:right w:w="100" w:type="dxa"/>
            </w:tcMar>
          </w:tcPr>
          <w:p/>
        </w:tc>
      </w:tr>
    </w:tbl>
    <w:sectPr w:rsidR="00FC693F" w:rsidRPr="0006063C" w:rsidSect="00034616">
      <w:headerReference w:type="default" r:id="rId9"/>
      <w:footerReference w:type="default" r:id="rId10"/>
      <w:pgSz w:w="11906" w:h="16838"/>
      <w:pgMar w:top="1134" w:right="1134" w:bottom="113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rial" w:hAnsi="Arial" w:cs="Arial" w:eastAsia="Arial"/>
        <w:b w:val="0"/>
        <w:i w:val="0"/>
        <w:color w:val="5A5751"/>
        <w:sz w:val="16"/>
      </w:rPr>
      <w:t>Modèle gratuit fourni par regulia.fr — à adapter à votre organisation ; ne constitue pas un conseil juridique.</w:t>
    </w:r>
  </w:p>
  <w:p>
    <w:pPr>
      <w:spacing w:after="0"/>
      <w:jc w:val="center"/>
    </w:pPr>
    <w:r>
      <w:rPr>
        <w:rFonts w:ascii="Arial" w:hAnsi="Arial" w:cs="Arial" w:eastAsia="Arial"/>
        <w:b w:val="0"/>
        <w:i w:val="0"/>
        <w:color w:val="5A5751"/>
        <w:sz w:val="16"/>
      </w:rPr>
      <w:t xml:space="preserve">Page </w:t>
    </w:r>
    <w:r>
      <w:rPr>
        <w:rFonts w:ascii="Arial" w:hAnsi="Arial" w:cs="Arial" w:eastAsia="Arial"/>
        <w:color w:val="5A5751"/>
        <w:sz w:val="16"/>
      </w:rPr>
      <w:fldChar w:fldCharType="begin"/>
    </w:r>
    <w:r>
      <w:rPr>
        <w:rFonts w:ascii="Arial" w:hAnsi="Arial" w:cs="Arial" w:eastAsia="Arial"/>
        <w:color w:val="5A5751"/>
        <w:sz w:val="16"/>
      </w:rPr>
      <w:instrText xml:space="preserve"> PAGE </w:instrText>
    </w:r>
    <w:r>
      <w:rPr>
        <w:rFonts w:ascii="Arial" w:hAnsi="Arial" w:cs="Arial" w:eastAsia="Arial"/>
        <w:color w:val="5A5751"/>
        <w:sz w:val="16"/>
      </w:rPr>
      <w:fldChar w:fldCharType="separate"/>
    </w:r>
    <w:r>
      <w:rPr>
        <w:rFonts w:ascii="Arial" w:hAnsi="Arial" w:cs="Arial" w:eastAsia="Arial"/>
        <w:color w:val="5A5751"/>
        <w:sz w:val="16"/>
      </w:rPr>
      <w:t>1</w:t>
    </w:r>
    <w:r>
      <w:rPr>
        <w:rFonts w:ascii="Arial" w:hAnsi="Arial" w:cs="Arial" w:eastAsia="Arial"/>
        <w:color w:val="5A5751"/>
        <w:sz w:val="16"/>
      </w:rPr>
      <w:fldChar w:fldCharType="end"/>
    </w:r>
    <w:r>
      <w:rPr>
        <w:rFonts w:ascii="Arial" w:hAnsi="Arial" w:cs="Arial" w:eastAsia="Arial"/>
        <w:b w:val="0"/>
        <w:i w:val="0"/>
        <w:color w:val="5A5751"/>
        <w:sz w:val="16"/>
      </w:rPr>
      <w:t xml:space="preserve"> sur </w:t>
    </w:r>
    <w:r>
      <w:rPr>
        <w:rFonts w:ascii="Arial" w:hAnsi="Arial" w:cs="Arial" w:eastAsia="Arial"/>
        <w:color w:val="5A5751"/>
        <w:sz w:val="16"/>
      </w:rPr>
      <w:fldChar w:fldCharType="begin"/>
    </w:r>
    <w:r>
      <w:rPr>
        <w:rFonts w:ascii="Arial" w:hAnsi="Arial" w:cs="Arial" w:eastAsia="Arial"/>
        <w:color w:val="5A5751"/>
        <w:sz w:val="16"/>
      </w:rPr>
      <w:instrText xml:space="preserve"> NUMPAGES </w:instrText>
    </w:r>
    <w:r>
      <w:rPr>
        <w:rFonts w:ascii="Arial" w:hAnsi="Arial" w:cs="Arial" w:eastAsia="Arial"/>
        <w:color w:val="5A5751"/>
        <w:sz w:val="16"/>
      </w:rPr>
      <w:fldChar w:fldCharType="separate"/>
    </w:r>
    <w:r>
      <w:rPr>
        <w:rFonts w:ascii="Arial" w:hAnsi="Arial" w:cs="Arial" w:eastAsia="Arial"/>
        <w:color w:val="5A5751"/>
        <w:sz w:val="16"/>
      </w:rPr>
      <w:t>1</w:t>
    </w:r>
    <w:r>
      <w:rPr>
        <w:rFonts w:ascii="Arial" w:hAnsi="Arial" w:cs="Arial" w:eastAsia="Arial"/>
        <w:color w:val="5A5751"/>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s="Arial" w:eastAsia="Arial"/>
        <w:b w:val="0"/>
        <w:i w:val="0"/>
        <w:color w:val="5A5751"/>
        <w:sz w:val="16"/>
        <w:highlight w:val="yellow"/>
      </w:rPr>
      <w:t>[Nom de l'entreprise]</w:t>
    </w:r>
    <w:r>
      <w:rPr>
        <w:rFonts w:ascii="Arial" w:hAnsi="Arial" w:cs="Arial" w:eastAsia="Arial"/>
        <w:b w:val="0"/>
        <w:i w:val="0"/>
        <w:color w:val="5A5751"/>
        <w:sz w:val="16"/>
      </w:rPr>
      <w:t xml:space="preserve"> · Charte d'utilisation de l'IA · Version </w:t>
    </w:r>
    <w:r>
      <w:rPr>
        <w:rFonts w:ascii="Arial" w:hAnsi="Arial" w:cs="Arial" w:eastAsia="Arial"/>
        <w:b w:val="0"/>
        <w:i w:val="0"/>
        <w:color w:val="5A5751"/>
        <w:sz w:val="16"/>
        <w:highlight w:val="yellow"/>
      </w:rPr>
      <w:t>[1.0]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59" w:lineRule="auto"/>
    </w:pPr>
    <w:rPr>
      <w:rFonts w:ascii="Arial" w:hAnsi="Arial" w:cs="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Arial" w:hAnsi="Arial" w:cs="Arial" w:eastAsia="Arial"/>
      <w:b/>
      <w:bCs/>
      <w:color w:val="15573D"/>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Arial" w:hAnsi="Arial" w:cs="Arial" w:eastAsia="Arial"/>
      <w:b/>
      <w:color w:val="15573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5A5751"/>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regulia.fr/modele-charte-ia-entrepr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d'utilisation de l'intelligence artificielle — modèle gratuit</dc:title>
  <dc:subject>Modèle de charte IA pour entreprise</dc:subject>
  <dc:creator>regulia.fr</dc:creator>
  <cp:keywords>charte IA, modèle, entreprise, AI Act, article 4, article 50, RGPD</cp:keywords>
  <dc:description>Modèle gratuit fourni par regulia.fr. À adapter à votre organisation ; ne constitue pas un conseil juridique.</dc:description>
  <cp:lastModifiedBy>regulia.fr</cp:lastModifiedBy>
  <cp:revision>1</cp:revision>
  <dcterms:created xsi:type="dcterms:W3CDTF">2026-10-01T09:00:00Z</dcterms:created>
  <dcterms:modified xsi:type="dcterms:W3CDTF">2026-10-01T09:00:00Z</dcterms:modified>
  <cp:category/>
  <dc:language>fr-FR</dc:language>
</cp:coreProperties>
</file>