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15573D"/>
          <w:sz w:val="24"/>
        </w:rPr>
        <w:t>regulia.fr</w:t>
      </w:r>
    </w:p>
    <w:p>
      <w:r>
        <w:rPr>
          <w:b/>
          <w:sz w:val="40"/>
        </w:rPr>
        <w:t>Mentions type — Article 50 AI Act (transparence IA)</w:t>
      </w:r>
    </w:p>
    <w:p>
      <w:r>
        <w:rPr>
          <w:i w:val="0"/>
          <w:color w:val="5A5751"/>
          <w:sz w:val="20"/>
        </w:rPr>
        <w:t>Obligations de transparence du Règlement (UE) 2024/1689, en vigueur depuis le 2 août 2026 côté déployeur. Modèles de mentions à copier-coller dans vos interfaces, publications et espaces d’accueil. Version du 10 août 2026 — gratuit, diffusable, sans inscription.</w:t>
      </w:r>
    </w:p>
    <w:p>
      <w:pPr>
        <w:pStyle w:val="Heading1"/>
      </w:pPr>
      <w:r>
        <w:rPr>
          <w:color w:val="15573D"/>
          <w:sz w:val="34"/>
        </w:rPr>
        <w:t>Comment utiliser ce document</w:t>
      </w:r>
    </w:p>
    <w:p>
      <w:r>
        <w:rPr>
          <w:i w:val="0"/>
          <w:sz w:val="22"/>
        </w:rPr>
        <w:t>Chaque mention ci-dessous correspond à une situation couverte par l’Article 50. Copiez la formulation, adaptez-la à votre ton de marque sans en affaiblir la clarté, et affichez-la au plus tard à la première interaction ou exposition de la personne. Tracez dans votre registre des systèmes d’IA : la mention retenue, son emplacement et sa date de mise en ligne.</w:t>
      </w:r>
    </w:p>
    <w:p>
      <w:pPr>
        <w:pStyle w:val="Heading1"/>
      </w:pPr>
      <w:r>
        <w:rPr>
          <w:color w:val="15573D"/>
          <w:sz w:val="34"/>
        </w:rPr>
        <w:t>Les mentions type</w:t>
      </w:r>
    </w:p>
    <w:p>
      <w:pPr>
        <w:pStyle w:val="Heading2"/>
      </w:pPr>
      <w:r>
        <w:rPr>
          <w:color w:val="15573D"/>
          <w:sz w:val="26"/>
        </w:rPr>
        <w:t>1. Chatbot / assistant conversationnel (site web, application, téléphone)</w:t>
      </w:r>
    </w:p>
    <w:p>
      <w:r>
        <w:rPr>
          <w:i/>
          <w:sz w:val="24"/>
        </w:rPr>
        <w:t>« Vous échangez avec un système d’intelligence artificielle. Vous pouvez demander à être mis en relation avec un conseiller humain. »</w:t>
      </w:r>
    </w:p>
    <w:p>
      <w:r>
        <w:rPr>
          <w:i w:val="0"/>
          <w:color w:val="5A5751"/>
          <w:sz w:val="20"/>
        </w:rPr>
        <w:t>Variante courte pour en-tête de fenêtre de chat : « Assistant IA ». Exemption : lorsque le caractère IA est évident pour une personne normalement informée et raisonnablement attentive, compte tenu du contexte.</w:t>
      </w:r>
    </w:p>
    <w:p>
      <w:pPr>
        <w:pStyle w:val="Heading2"/>
      </w:pPr>
      <w:r>
        <w:rPr>
          <w:color w:val="15573D"/>
          <w:sz w:val="26"/>
        </w:rPr>
        <w:t>2. Image générée par IA (communication, réseaux sociaux, illustration)</w:t>
      </w:r>
    </w:p>
    <w:p>
      <w:r>
        <w:rPr>
          <w:i/>
          <w:sz w:val="24"/>
        </w:rPr>
        <w:t>« Image générée par intelligence artificielle. »</w:t>
      </w:r>
    </w:p>
    <w:p>
      <w:r>
        <w:rPr>
          <w:i w:val="0"/>
          <w:color w:val="5A5751"/>
          <w:sz w:val="20"/>
        </w:rPr>
        <w:t>À placer en légende ou en surimpression discrète, à proximité immédiate du visuel.</w:t>
      </w:r>
    </w:p>
    <w:p>
      <w:pPr>
        <w:pStyle w:val="Heading2"/>
      </w:pPr>
      <w:r>
        <w:rPr>
          <w:color w:val="15573D"/>
          <w:sz w:val="26"/>
        </w:rPr>
        <w:t>3. Deepfake — vidéo ou audio généré ou manipulé représentant des personnes, lieux ou événements réels</w:t>
      </w:r>
    </w:p>
    <w:p>
      <w:r>
        <w:rPr>
          <w:i/>
          <w:sz w:val="24"/>
        </w:rPr>
        <w:t>« Ce contenu a été généré ou manipulé par une intelligence artificielle. Il ne documente pas un événement réel. »</w:t>
      </w:r>
    </w:p>
    <w:p>
      <w:r>
        <w:rPr>
          <w:i w:val="0"/>
          <w:color w:val="5A5751"/>
          <w:sz w:val="20"/>
        </w:rPr>
        <w:t>Pour une œuvre manifestement artistique, créative, satirique ou fictionnelle : la divulgation reste due, mais peut se limiter à une mention appropriée qui ne gêne pas l’affichage ou la jouissance de l’œuvre.</w:t>
      </w:r>
    </w:p>
    <w:p>
      <w:pPr>
        <w:pStyle w:val="Heading2"/>
      </w:pPr>
      <w:r>
        <w:rPr>
          <w:color w:val="15573D"/>
          <w:sz w:val="26"/>
        </w:rPr>
        <w:t>4. Texte généré par IA publié pour informer le public</w:t>
      </w:r>
    </w:p>
    <w:p>
      <w:r>
        <w:rPr>
          <w:i/>
          <w:sz w:val="24"/>
        </w:rPr>
        <w:t>« Cet article a été généré avec l’assistance d’une intelligence artificielle. »</w:t>
      </w:r>
    </w:p>
    <w:p>
      <w:r>
        <w:rPr>
          <w:i w:val="0"/>
          <w:color w:val="5A5751"/>
          <w:sz w:val="20"/>
        </w:rPr>
        <w:t>Exemption : lorsque le texte a fait l’objet d’une revue humaine ou d’un contrôle éditorial et qu’une personne physique ou morale assume la responsabilité éditoriale de la publication. Mention alors recommandée : « Rédigé avec l’assistance d’une IA, relu et validé par notre rédaction. »</w:t>
      </w:r>
    </w:p>
    <w:p>
      <w:pPr>
        <w:pStyle w:val="Heading2"/>
      </w:pPr>
      <w:r>
        <w:rPr>
          <w:color w:val="15573D"/>
          <w:sz w:val="26"/>
        </w:rPr>
        <w:t>5. Système de reconnaissance des émotions ou de catégorisation biométrique</w:t>
      </w:r>
    </w:p>
    <w:p>
      <w:r>
        <w:rPr>
          <w:i/>
          <w:sz w:val="24"/>
        </w:rPr>
        <w:t>« Cet espace utilise un système d’intelligence artificielle d’analyse [des émotions / biométrique]. Informations et exercice de vos droits : [contact / DPO]. »</w:t>
      </w:r>
    </w:p>
    <w:p>
      <w:r>
        <w:rPr>
          <w:i w:val="0"/>
          <w:color w:val="5A5751"/>
          <w:sz w:val="20"/>
        </w:rPr>
        <w:t>À articuler avec vos obligations RGPD : les données biométriques et d’émotion relèvent des données sensibles.</w:t>
      </w:r>
    </w:p>
    <w:p>
      <w:pPr>
        <w:pStyle w:val="Heading1"/>
      </w:pPr>
      <w:r>
        <w:rPr>
          <w:color w:val="15573D"/>
          <w:sz w:val="34"/>
        </w:rPr>
        <w:t>À retenir</w:t>
      </w:r>
    </w:p>
    <w:p>
      <w:r>
        <w:rPr>
          <w:i w:val="0"/>
          <w:sz w:val="22"/>
        </w:rPr>
        <w:t>• En vigueur depuis le 2 août 2026 : information des personnes (chatbots, deepfakes, textes d’information du public, reconnaissance des émotions).</w:t>
      </w:r>
    </w:p>
    <w:p>
      <w:r>
        <w:rPr>
          <w:i w:val="0"/>
          <w:sz w:val="22"/>
        </w:rPr>
        <w:t>• 2 décembre 2026 : étiquetage technique lisible par machine (watermarking) des contenus générés, à la charge des fournisseurs — échéance reportée par le Digital Omnibus du 7 mai 2026.</w:t>
      </w:r>
    </w:p>
    <w:p>
      <w:r>
        <w:rPr>
          <w:i w:val="0"/>
          <w:sz w:val="22"/>
        </w:rPr>
        <w:t>• Sanctions : Article 99(4) du Règlement (UE) 2024/1689 — jusqu’à 15 M€ ou 3 % du CA annuel mondial ; pour les PME, le plus bas des deux plafonds (Article 99(6)).</w:t>
      </w:r>
    </w:p>
    <w:p>
      <w:pPr>
        <w:pStyle w:val="Heading1"/>
      </w:pPr>
      <w:r>
        <w:rPr>
          <w:color w:val="15573D"/>
          <w:sz w:val="34"/>
        </w:rPr>
        <w:t>Sources et limites</w:t>
      </w:r>
    </w:p>
    <w:p>
      <w:r>
        <w:rPr>
          <w:i w:val="0"/>
          <w:sz w:val="22"/>
        </w:rPr>
        <w:t>Sources : Règlement (UE) 2024/1689 (Article 50, Article 99), accord Digital Omnibus AI du 7 mai 2026. Texte intégral : https://eur-lex.europa.eu/legal-content/FR/TXT/?uri=CELEX:32024R1689</w:t>
      </w:r>
    </w:p>
    <w:p>
      <w:r>
        <w:rPr>
          <w:i/>
          <w:color w:val="5A5751"/>
          <w:sz w:val="20"/>
        </w:rPr>
        <w:t>Ce document est un outil opérationnel de premier niveau proposé gratuitement par regulia.fr. Il ne constitue pas un conseil juridique. Pour les cas frontières, faites valider vos mentions par votre DPO ou un conseil.</w:t>
      </w:r>
    </w:p>
    <w:p>
      <w:r>
        <w:rPr>
          <w:i w:val="0"/>
          <w:color w:val="5A5751"/>
          <w:sz w:val="20"/>
        </w:rPr>
        <w:t>regulia.fr — checklist complète : https://regulia.fr/checklist-article-50-transparence/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